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289" w14:textId="3E193854" w:rsidR="004C2A3F" w:rsidRPr="00C5265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lang w:val="en-US"/>
        </w:rPr>
      </w:pPr>
      <w:bookmarkStart w:id="0" w:name="_GoBack"/>
      <w:bookmarkEnd w:id="0"/>
      <w:r w:rsidRPr="00C5265F">
        <w:rPr>
          <w:sz w:val="22"/>
          <w:lang w:val="en-US"/>
        </w:rPr>
        <w:t xml:space="preserve">Prof. Dr. </w:t>
      </w:r>
      <w:r w:rsidR="00F26594" w:rsidRPr="00C5265F">
        <w:rPr>
          <w:sz w:val="22"/>
          <w:lang w:val="en-US"/>
        </w:rPr>
        <w:t>Dr</w:t>
      </w:r>
      <w:r w:rsidR="008C4804">
        <w:rPr>
          <w:sz w:val="22"/>
          <w:lang w:val="en-US"/>
        </w:rPr>
        <w:t>es</w:t>
      </w:r>
      <w:r w:rsidR="00F26594" w:rsidRPr="00C5265F">
        <w:rPr>
          <w:sz w:val="22"/>
          <w:lang w:val="en-US"/>
        </w:rPr>
        <w:t xml:space="preserve">. h.c. </w:t>
      </w:r>
      <w:r w:rsidRPr="00C5265F">
        <w:rPr>
          <w:sz w:val="22"/>
          <w:lang w:val="en-US"/>
        </w:rPr>
        <w:t>Andreas Voßkuhle</w:t>
      </w:r>
      <w:r w:rsidR="00D3535B" w:rsidRPr="00C5265F">
        <w:rPr>
          <w:sz w:val="22"/>
          <w:lang w:val="en-US"/>
        </w:rPr>
        <w:tab/>
      </w:r>
      <w:r w:rsidR="00D3535B" w:rsidRPr="00C5265F">
        <w:rPr>
          <w:sz w:val="22"/>
          <w:lang w:val="en-US"/>
        </w:rPr>
        <w:tab/>
      </w:r>
      <w:r w:rsidR="00D3535B" w:rsidRPr="00C5265F">
        <w:rPr>
          <w:sz w:val="22"/>
          <w:lang w:val="en-US"/>
        </w:rPr>
        <w:tab/>
      </w:r>
      <w:r w:rsidR="00D3535B" w:rsidRPr="00C5265F">
        <w:rPr>
          <w:sz w:val="22"/>
          <w:lang w:val="en-US"/>
        </w:rPr>
        <w:tab/>
      </w:r>
      <w:r w:rsidR="00D3535B" w:rsidRPr="00C5265F">
        <w:rPr>
          <w:sz w:val="22"/>
          <w:lang w:val="en-US"/>
        </w:rPr>
        <w:tab/>
      </w:r>
      <w:r w:rsidR="00D3535B" w:rsidRPr="00C5265F">
        <w:rPr>
          <w:sz w:val="22"/>
          <w:lang w:val="en-US"/>
        </w:rPr>
        <w:tab/>
        <w:t xml:space="preserve">Stand: </w:t>
      </w:r>
      <w:r w:rsidR="00EE7987">
        <w:rPr>
          <w:sz w:val="22"/>
          <w:lang w:val="en-US"/>
        </w:rPr>
        <w:t>1.</w:t>
      </w:r>
      <w:r w:rsidR="008C4804">
        <w:rPr>
          <w:sz w:val="22"/>
          <w:lang w:val="en-US"/>
        </w:rPr>
        <w:t>10</w:t>
      </w:r>
      <w:r w:rsidR="00755E40">
        <w:rPr>
          <w:sz w:val="22"/>
          <w:lang w:val="en-US"/>
        </w:rPr>
        <w:t>.2019</w:t>
      </w:r>
    </w:p>
    <w:p w14:paraId="16993A7B" w14:textId="77777777" w:rsidR="004C2A3F" w:rsidRPr="00C5265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lang w:val="en-US"/>
        </w:rPr>
      </w:pPr>
    </w:p>
    <w:p w14:paraId="0F654C24" w14:textId="77777777" w:rsidR="004C2A3F" w:rsidRPr="00C5265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lang w:val="en-US"/>
        </w:rPr>
      </w:pPr>
    </w:p>
    <w:p w14:paraId="3C26B12F" w14:textId="77777777" w:rsidR="004C2A3F" w:rsidRPr="00C5265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lang w:val="en-US"/>
        </w:rPr>
      </w:pPr>
    </w:p>
    <w:p w14:paraId="33682314" w14:textId="77777777" w:rsidR="004C2A3F" w:rsidRDefault="004C2A3F">
      <w:pPr>
        <w:pStyle w:val="berschrift3"/>
        <w:tabs>
          <w:tab w:val="left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Veröffentlichungsliste</w:t>
      </w:r>
    </w:p>
    <w:p w14:paraId="3D168949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49D9940" w14:textId="77777777" w:rsidR="000256F6" w:rsidRDefault="000256F6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D0CFD06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653A1AE" w14:textId="77777777" w:rsidR="00941B19" w:rsidRDefault="00941B19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16E4329" w14:textId="77777777" w:rsidR="004C2A3F" w:rsidRDefault="004C2A3F">
      <w:pPr>
        <w:tabs>
          <w:tab w:val="left" w:pos="567"/>
          <w:tab w:val="left" w:pos="709"/>
        </w:tabs>
        <w:ind w:left="567" w:hanging="567"/>
        <w:jc w:val="both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Selbständige Abhandlungen</w:t>
      </w:r>
    </w:p>
    <w:p w14:paraId="0E136985" w14:textId="77777777" w:rsidR="004C2A3F" w:rsidRDefault="004C2A3F">
      <w:pPr>
        <w:pStyle w:val="Habil"/>
        <w:tabs>
          <w:tab w:val="left" w:pos="567"/>
        </w:tabs>
        <w:spacing w:line="320" w:lineRule="exact"/>
        <w:ind w:left="567" w:hanging="567"/>
        <w:rPr>
          <w:rFonts w:ascii="Times New Roman" w:hAnsi="Times New Roman"/>
        </w:rPr>
      </w:pPr>
    </w:p>
    <w:p w14:paraId="19C3BCD4" w14:textId="77777777" w:rsidR="004C2A3F" w:rsidRDefault="004C2A3F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Rechtsschutz gegen den Richter. Zur Integration der Dritten Gewalt in das verfassungsrechtliche Kontrollsystem vor dem Hintergrund des Art. 19</w:t>
      </w:r>
      <w:r w:rsidR="005B3008">
        <w:rPr>
          <w:sz w:val="22"/>
        </w:rPr>
        <w:t xml:space="preserve"> Abs. 4 GG, </w:t>
      </w:r>
      <w:r w:rsidR="001F071D">
        <w:rPr>
          <w:sz w:val="22"/>
        </w:rPr>
        <w:t>C.</w:t>
      </w:r>
      <w:r w:rsidR="001F071D" w:rsidRPr="001F071D">
        <w:rPr>
          <w:sz w:val="8"/>
          <w:szCs w:val="8"/>
        </w:rPr>
        <w:t> </w:t>
      </w:r>
      <w:r w:rsidR="001F071D">
        <w:rPr>
          <w:sz w:val="22"/>
        </w:rPr>
        <w:t>H. Beck</w:t>
      </w:r>
      <w:r>
        <w:rPr>
          <w:sz w:val="22"/>
        </w:rPr>
        <w:t>, München 1993, XX, 387 S.</w:t>
      </w:r>
    </w:p>
    <w:p w14:paraId="052FDC9F" w14:textId="77777777" w:rsidR="004C2A3F" w:rsidRDefault="004C2A3F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82F7DCE" w14:textId="77777777" w:rsidR="004C2A3F" w:rsidRDefault="00DC38D0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</w:t>
      </w:r>
      <w:r w:rsidR="004C2A3F">
        <w:rPr>
          <w:sz w:val="22"/>
        </w:rPr>
        <w:t>.</w:t>
      </w:r>
      <w:r w:rsidR="004C2A3F">
        <w:rPr>
          <w:sz w:val="22"/>
        </w:rPr>
        <w:tab/>
        <w:t>Das Kompensationsprinzip. Grundlagen einer prospektiven Ausgleichsordnung für die Folgen privater Freiheitsbetätigung </w:t>
      </w:r>
      <w:r w:rsidR="002A6CD4">
        <w:rPr>
          <w:sz w:val="22"/>
        </w:rPr>
        <w:t>–</w:t>
      </w:r>
      <w:r w:rsidR="004C2A3F">
        <w:rPr>
          <w:sz w:val="22"/>
        </w:rPr>
        <w:t> Zur Flexibilisierung des Verwaltungsrechts am Beispiel des Umwelt</w:t>
      </w:r>
      <w:r w:rsidR="004C2A3F">
        <w:rPr>
          <w:sz w:val="22"/>
        </w:rPr>
        <w:noBreakHyphen/>
        <w:t xml:space="preserve"> und Planungsrechts, Jus Publicum Bd. 41, Mohr Siebeck, Tübingen 1999, XXIII, 536 S.</w:t>
      </w:r>
    </w:p>
    <w:p w14:paraId="70FA0A98" w14:textId="77777777" w:rsidR="004C2A3F" w:rsidRDefault="004C2A3F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375635A" w14:textId="77777777" w:rsidR="004C2A3F" w:rsidRDefault="00DC38D0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3</w:t>
      </w:r>
      <w:r w:rsidR="004C2A3F">
        <w:rPr>
          <w:sz w:val="22"/>
        </w:rPr>
        <w:t>.</w:t>
      </w:r>
      <w:r w:rsidR="004C2A3F">
        <w:rPr>
          <w:sz w:val="22"/>
        </w:rPr>
        <w:tab/>
        <w:t xml:space="preserve">Rechtsfragen der Sportwette, Schriften zum Öffentlichen Recht, Band 872, </w:t>
      </w:r>
      <w:r w:rsidR="00BD42FE">
        <w:rPr>
          <w:sz w:val="22"/>
        </w:rPr>
        <w:t xml:space="preserve">Duncker &amp; Humblot. Berlin </w:t>
      </w:r>
      <w:r w:rsidR="004C2A3F">
        <w:rPr>
          <w:sz w:val="22"/>
        </w:rPr>
        <w:t>2001, 146 S</w:t>
      </w:r>
      <w:r w:rsidR="00370C92">
        <w:rPr>
          <w:sz w:val="22"/>
        </w:rPr>
        <w:t>.</w:t>
      </w:r>
      <w:r w:rsidR="0025481E">
        <w:rPr>
          <w:sz w:val="22"/>
        </w:rPr>
        <w:t xml:space="preserve"> (zusammen mit Christian Bumke)</w:t>
      </w:r>
      <w:r w:rsidR="004C2A3F">
        <w:rPr>
          <w:sz w:val="22"/>
        </w:rPr>
        <w:t>.</w:t>
      </w:r>
    </w:p>
    <w:p w14:paraId="09715089" w14:textId="77777777" w:rsidR="00DC38D0" w:rsidRDefault="00DC38D0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B2B4D44" w14:textId="77777777" w:rsidR="00DC38D0" w:rsidRDefault="00DC38D0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Umweltrecht, 5. völlig neu </w:t>
      </w:r>
      <w:r w:rsidRPr="005B3008">
        <w:rPr>
          <w:sz w:val="22"/>
        </w:rPr>
        <w:t>überarbeitete Aufl</w:t>
      </w:r>
      <w:r w:rsidR="002A6CD4">
        <w:rPr>
          <w:sz w:val="22"/>
        </w:rPr>
        <w:t>.</w:t>
      </w:r>
      <w:r w:rsidRPr="005B3008">
        <w:rPr>
          <w:sz w:val="22"/>
        </w:rPr>
        <w:t>, C.</w:t>
      </w:r>
      <w:r w:rsidR="001F071D" w:rsidRPr="001F071D">
        <w:rPr>
          <w:sz w:val="8"/>
          <w:szCs w:val="8"/>
        </w:rPr>
        <w:t> </w:t>
      </w:r>
      <w:r w:rsidRPr="005B3008">
        <w:rPr>
          <w:sz w:val="22"/>
        </w:rPr>
        <w:t>F. Müller, Heidelberg</w:t>
      </w:r>
      <w:r>
        <w:rPr>
          <w:sz w:val="22"/>
        </w:rPr>
        <w:t xml:space="preserve"> 2003, 1050 S. (zusammen mit Reinhard Sparwasser und Rüdiger Engel).</w:t>
      </w:r>
    </w:p>
    <w:p w14:paraId="27401E12" w14:textId="77777777" w:rsidR="008F3EDE" w:rsidRDefault="008F3EDE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1CE4F63" w14:textId="77777777" w:rsidR="008F3EDE" w:rsidRDefault="008F3EDE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 w:rsidRPr="005B3008">
        <w:rPr>
          <w:sz w:val="22"/>
        </w:rPr>
        <w:t>5.</w:t>
      </w:r>
      <w:r w:rsidRPr="005B3008">
        <w:rPr>
          <w:sz w:val="22"/>
        </w:rPr>
        <w:tab/>
        <w:t>Casebook Verfassungsrecht, 5. überarbeitete und aktualisierte Aufl</w:t>
      </w:r>
      <w:r w:rsidR="002A6CD4">
        <w:rPr>
          <w:sz w:val="22"/>
        </w:rPr>
        <w:t>.</w:t>
      </w:r>
      <w:r w:rsidRPr="005B3008">
        <w:rPr>
          <w:sz w:val="22"/>
        </w:rPr>
        <w:t xml:space="preserve">, </w:t>
      </w:r>
      <w:r w:rsidR="001F071D">
        <w:rPr>
          <w:sz w:val="22"/>
        </w:rPr>
        <w:t>C.</w:t>
      </w:r>
      <w:r w:rsidR="001F071D" w:rsidRPr="001F071D">
        <w:rPr>
          <w:sz w:val="8"/>
          <w:szCs w:val="8"/>
        </w:rPr>
        <w:t> </w:t>
      </w:r>
      <w:r w:rsidR="001F071D">
        <w:rPr>
          <w:sz w:val="22"/>
        </w:rPr>
        <w:t>H. Beck</w:t>
      </w:r>
      <w:r w:rsidRPr="005B3008">
        <w:rPr>
          <w:sz w:val="22"/>
        </w:rPr>
        <w:t>, München</w:t>
      </w:r>
      <w:r>
        <w:rPr>
          <w:sz w:val="22"/>
        </w:rPr>
        <w:t xml:space="preserve"> </w:t>
      </w:r>
      <w:r w:rsidR="00784737">
        <w:rPr>
          <w:sz w:val="22"/>
        </w:rPr>
        <w:t xml:space="preserve">2008, </w:t>
      </w:r>
      <w:r>
        <w:rPr>
          <w:sz w:val="22"/>
        </w:rPr>
        <w:t>518 S.</w:t>
      </w:r>
      <w:r w:rsidR="004759CD">
        <w:rPr>
          <w:sz w:val="22"/>
        </w:rPr>
        <w:t xml:space="preserve">, </w:t>
      </w:r>
      <w:r>
        <w:rPr>
          <w:sz w:val="22"/>
        </w:rPr>
        <w:t xml:space="preserve"> (</w:t>
      </w:r>
      <w:r w:rsidR="00784737">
        <w:rPr>
          <w:sz w:val="22"/>
        </w:rPr>
        <w:t>z</w:t>
      </w:r>
      <w:r>
        <w:rPr>
          <w:sz w:val="22"/>
        </w:rPr>
        <w:t>usammen mit Christian Bumke)</w:t>
      </w:r>
      <w:r w:rsidR="004B625C">
        <w:rPr>
          <w:sz w:val="22"/>
        </w:rPr>
        <w:t>.</w:t>
      </w:r>
    </w:p>
    <w:p w14:paraId="42C8614E" w14:textId="77777777" w:rsidR="00982FC6" w:rsidRDefault="00982FC6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C49CD19" w14:textId="77777777" w:rsidR="00982FC6" w:rsidRDefault="00982FC6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Casebook </w:t>
      </w:r>
      <w:r w:rsidR="009D0CC6">
        <w:rPr>
          <w:sz w:val="22"/>
        </w:rPr>
        <w:t xml:space="preserve">Verfassungsrecht, 6. </w:t>
      </w:r>
      <w:r w:rsidR="004759CD">
        <w:rPr>
          <w:sz w:val="22"/>
        </w:rPr>
        <w:t xml:space="preserve">vollständig </w:t>
      </w:r>
      <w:r w:rsidR="009D0CC6">
        <w:rPr>
          <w:sz w:val="22"/>
        </w:rPr>
        <w:t>ü</w:t>
      </w:r>
      <w:r>
        <w:rPr>
          <w:sz w:val="22"/>
        </w:rPr>
        <w:t>berarbeitetet</w:t>
      </w:r>
      <w:r w:rsidR="004759CD">
        <w:rPr>
          <w:sz w:val="22"/>
        </w:rPr>
        <w:t>e</w:t>
      </w:r>
      <w:r>
        <w:rPr>
          <w:sz w:val="22"/>
        </w:rPr>
        <w:t xml:space="preserve"> und aktualisierte Aufl., Mohr Siebeck, Tübingen 2013, 660 S.</w:t>
      </w:r>
      <w:r w:rsidR="004759CD">
        <w:rPr>
          <w:sz w:val="22"/>
        </w:rPr>
        <w:t xml:space="preserve">, 7. Aufl. 2015, 693 S. </w:t>
      </w:r>
      <w:r>
        <w:rPr>
          <w:sz w:val="22"/>
        </w:rPr>
        <w:t xml:space="preserve"> (zusammen mit Christian Bumke).</w:t>
      </w:r>
    </w:p>
    <w:p w14:paraId="564DF0CD" w14:textId="77777777" w:rsidR="006F20EE" w:rsidRDefault="006F20EE" w:rsidP="00DC38D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71BD592" w14:textId="7C5E6B5D" w:rsidR="006F20EE" w:rsidRDefault="00906538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 xml:space="preserve">7. </w:t>
      </w:r>
      <w:r w:rsidR="009562FE">
        <w:rPr>
          <w:sz w:val="22"/>
        </w:rPr>
        <w:tab/>
      </w:r>
      <w:r w:rsidR="006F20EE" w:rsidRPr="006F20EE">
        <w:rPr>
          <w:sz w:val="22"/>
        </w:rPr>
        <w:t>Freiheit und Demokratie durch Recht, Herrenhauser Le</w:t>
      </w:r>
      <w:r w:rsidR="006B71D2">
        <w:rPr>
          <w:sz w:val="22"/>
        </w:rPr>
        <w:t>ctures, Hannover 2013, 39 S</w:t>
      </w:r>
      <w:r w:rsidR="006F20EE" w:rsidRPr="006F20EE">
        <w:rPr>
          <w:sz w:val="22"/>
        </w:rPr>
        <w:t>.</w:t>
      </w:r>
    </w:p>
    <w:p w14:paraId="51DD077F" w14:textId="77777777" w:rsidR="0018608D" w:rsidRDefault="0018608D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7757B97" w14:textId="77777777" w:rsidR="0018608D" w:rsidRDefault="004759CD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8</w:t>
      </w:r>
      <w:r w:rsidR="0018608D">
        <w:rPr>
          <w:sz w:val="22"/>
        </w:rPr>
        <w:t xml:space="preserve">. </w:t>
      </w:r>
      <w:r w:rsidR="0018608D">
        <w:rPr>
          <w:sz w:val="22"/>
        </w:rPr>
        <w:tab/>
        <w:t>Die Verfassung der Mitte, München 2016, 63 S. (zusammen mit Thomas Wischmeyer)</w:t>
      </w:r>
      <w:r w:rsidR="0053435E">
        <w:rPr>
          <w:sz w:val="22"/>
        </w:rPr>
        <w:t>.</w:t>
      </w:r>
    </w:p>
    <w:p w14:paraId="19479DB6" w14:textId="77777777" w:rsidR="00110554" w:rsidRDefault="00110554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B7A19D2" w14:textId="75AE07AF" w:rsidR="00110554" w:rsidRDefault="00110554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Die Idee der Europäischen Wertegemeinschaft, Thyssen Lectures, Köln 2018</w:t>
      </w:r>
      <w:r w:rsidR="008729B8">
        <w:rPr>
          <w:sz w:val="22"/>
        </w:rPr>
        <w:t>, 127 S</w:t>
      </w:r>
      <w:r>
        <w:rPr>
          <w:sz w:val="22"/>
        </w:rPr>
        <w:t>.</w:t>
      </w:r>
    </w:p>
    <w:p w14:paraId="1F37C603" w14:textId="77777777" w:rsidR="005B4DBB" w:rsidRDefault="005B4DBB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9B4122B" w14:textId="63F7CCFF" w:rsidR="005B4DBB" w:rsidRDefault="005B4DBB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 w:rsidRPr="007825BC">
        <w:rPr>
          <w:sz w:val="22"/>
          <w:lang w:val="en-US"/>
        </w:rPr>
        <w:t>10.</w:t>
      </w:r>
      <w:r w:rsidRPr="007825BC">
        <w:rPr>
          <w:sz w:val="22"/>
          <w:lang w:val="en-US"/>
        </w:rPr>
        <w:tab/>
        <w:t xml:space="preserve">German Constitutional Law, Introduction, </w:t>
      </w:r>
      <w:r w:rsidR="00A72AE1" w:rsidRPr="007825BC">
        <w:rPr>
          <w:sz w:val="22"/>
          <w:lang w:val="en-US"/>
        </w:rPr>
        <w:t xml:space="preserve">Cases, and </w:t>
      </w:r>
      <w:r w:rsidRPr="007825BC">
        <w:rPr>
          <w:sz w:val="22"/>
          <w:lang w:val="en-US"/>
        </w:rPr>
        <w:t xml:space="preserve">Principles. </w:t>
      </w:r>
      <w:r>
        <w:rPr>
          <w:sz w:val="22"/>
        </w:rPr>
        <w:t>Oxford Unive</w:t>
      </w:r>
      <w:r w:rsidR="002035D7">
        <w:rPr>
          <w:sz w:val="22"/>
        </w:rPr>
        <w:t>rsity Press, 581</w:t>
      </w:r>
      <w:r>
        <w:rPr>
          <w:sz w:val="22"/>
        </w:rPr>
        <w:t xml:space="preserve"> Seiten</w:t>
      </w:r>
      <w:r w:rsidR="002035D7">
        <w:rPr>
          <w:sz w:val="22"/>
        </w:rPr>
        <w:t>, Oxford 2019</w:t>
      </w:r>
      <w:r>
        <w:rPr>
          <w:sz w:val="22"/>
        </w:rPr>
        <w:t xml:space="preserve"> (zusammen mit Christian Bumke)</w:t>
      </w:r>
    </w:p>
    <w:p w14:paraId="61130B46" w14:textId="77777777" w:rsidR="00DC38D0" w:rsidRPr="00DC38D0" w:rsidRDefault="009D0CC6" w:rsidP="00923E43">
      <w:pPr>
        <w:tabs>
          <w:tab w:val="left" w:pos="567"/>
        </w:tabs>
        <w:spacing w:line="320" w:lineRule="exact"/>
        <w:ind w:left="567" w:hanging="567"/>
        <w:jc w:val="both"/>
        <w:rPr>
          <w:b/>
          <w:sz w:val="28"/>
          <w:szCs w:val="28"/>
        </w:rPr>
      </w:pPr>
      <w:r>
        <w:rPr>
          <w:sz w:val="22"/>
        </w:rPr>
        <w:br w:type="column"/>
      </w:r>
      <w:r w:rsidR="00DC38D0" w:rsidRPr="00DC38D0">
        <w:rPr>
          <w:b/>
          <w:sz w:val="28"/>
          <w:szCs w:val="28"/>
        </w:rPr>
        <w:lastRenderedPageBreak/>
        <w:t>II.</w:t>
      </w:r>
      <w:r w:rsidR="00DC38D0" w:rsidRPr="00DC38D0">
        <w:rPr>
          <w:b/>
          <w:sz w:val="28"/>
          <w:szCs w:val="28"/>
        </w:rPr>
        <w:tab/>
        <w:t>Herausgeberschaften</w:t>
      </w:r>
    </w:p>
    <w:p w14:paraId="32A457D8" w14:textId="77777777" w:rsidR="00DC38D0" w:rsidRDefault="00DC38D0" w:rsidP="00923E43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5CAC405" w14:textId="77777777" w:rsidR="00DC38D0" w:rsidRDefault="00DC38D0" w:rsidP="000256F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>Grundkurs Umweltrecht. Einführung für Naturwissenschaftler und Öko</w:t>
      </w:r>
      <w:r>
        <w:rPr>
          <w:sz w:val="22"/>
        </w:rPr>
        <w:softHyphen/>
        <w:t>nomen, Spektrum, Heidelberg/Berlin/Oxford 1995, 413 S.</w:t>
      </w:r>
      <w:r w:rsidR="00370C92">
        <w:rPr>
          <w:sz w:val="22"/>
        </w:rPr>
        <w:t>,</w:t>
      </w:r>
      <w:r>
        <w:rPr>
          <w:sz w:val="22"/>
        </w:rPr>
        <w:t xml:space="preserve"> </w:t>
      </w:r>
      <w:r w:rsidR="000A2588" w:rsidRPr="00CC239B">
        <w:rPr>
          <w:sz w:val="22"/>
        </w:rPr>
        <w:t>2. vollständig überarbeitete Aufl</w:t>
      </w:r>
      <w:r w:rsidR="000A2588">
        <w:rPr>
          <w:sz w:val="22"/>
        </w:rPr>
        <w:t xml:space="preserve">. 1998 </w:t>
      </w:r>
      <w:r w:rsidR="00370C92">
        <w:rPr>
          <w:sz w:val="22"/>
        </w:rPr>
        <w:t>(herausgegeben zusammen mit Wolfgang Kahl).</w:t>
      </w:r>
    </w:p>
    <w:p w14:paraId="2ECEE9C1" w14:textId="77777777" w:rsidR="00DC38D0" w:rsidRDefault="00DC38D0" w:rsidP="000256F6">
      <w:pPr>
        <w:spacing w:line="320" w:lineRule="exact"/>
        <w:ind w:left="567" w:hanging="720"/>
        <w:jc w:val="both"/>
        <w:rPr>
          <w:sz w:val="22"/>
        </w:rPr>
      </w:pPr>
    </w:p>
    <w:p w14:paraId="52EA6734" w14:textId="77777777" w:rsidR="004C2A3F" w:rsidRDefault="004C2A3F" w:rsidP="000256F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>Umwelt, Wirtschaft und Recht. Wissen</w:t>
      </w:r>
      <w:r w:rsidR="00891C30">
        <w:rPr>
          <w:sz w:val="22"/>
        </w:rPr>
        <w:t>schaftliches Symposium aus Anlass</w:t>
      </w:r>
      <w:r>
        <w:rPr>
          <w:sz w:val="22"/>
        </w:rPr>
        <w:t xml:space="preserve"> des 65. Geburtstages von Reiner Schmidt, </w:t>
      </w:r>
      <w:r w:rsidRPr="00CC239B">
        <w:rPr>
          <w:sz w:val="22"/>
        </w:rPr>
        <w:t>Mohr Siebeck,</w:t>
      </w:r>
      <w:r>
        <w:rPr>
          <w:sz w:val="22"/>
        </w:rPr>
        <w:t xml:space="preserve"> </w:t>
      </w:r>
      <w:r w:rsidR="00DC38D0">
        <w:rPr>
          <w:sz w:val="22"/>
        </w:rPr>
        <w:t xml:space="preserve">Tübingen </w:t>
      </w:r>
      <w:r>
        <w:rPr>
          <w:sz w:val="22"/>
        </w:rPr>
        <w:t>2002, 202 S. (</w:t>
      </w:r>
      <w:r w:rsidR="00784737">
        <w:rPr>
          <w:sz w:val="22"/>
        </w:rPr>
        <w:t xml:space="preserve">herausgegeben </w:t>
      </w:r>
      <w:r w:rsidR="00DD4044">
        <w:rPr>
          <w:sz w:val="22"/>
        </w:rPr>
        <w:t>z</w:t>
      </w:r>
      <w:r>
        <w:rPr>
          <w:sz w:val="22"/>
        </w:rPr>
        <w:t>usammen mit Hartmut Bauer, Detlef Czybulka und Wolfgang Kahl)</w:t>
      </w:r>
      <w:r w:rsidR="0025481E">
        <w:rPr>
          <w:sz w:val="22"/>
        </w:rPr>
        <w:t>.</w:t>
      </w:r>
    </w:p>
    <w:p w14:paraId="05862AC8" w14:textId="77777777" w:rsidR="004C2A3F" w:rsidRDefault="004C2A3F" w:rsidP="000256F6">
      <w:pPr>
        <w:spacing w:line="320" w:lineRule="exact"/>
        <w:ind w:left="567" w:hanging="720"/>
        <w:jc w:val="both"/>
        <w:rPr>
          <w:sz w:val="22"/>
        </w:rPr>
      </w:pPr>
    </w:p>
    <w:p w14:paraId="0723FBEC" w14:textId="77777777" w:rsidR="008572F4" w:rsidRDefault="008572F4" w:rsidP="000256F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>Entbürokratisierung und Regulierung. Jahrestagung der Deutschen Sektion des Internationalen</w:t>
      </w:r>
      <w:r w:rsidR="007C3B42">
        <w:rPr>
          <w:sz w:val="22"/>
        </w:rPr>
        <w:t xml:space="preserve"> Instituts für Verwaltungswissenschaften vom 18</w:t>
      </w:r>
      <w:r w:rsidR="00784737">
        <w:rPr>
          <w:sz w:val="22"/>
        </w:rPr>
        <w:t>. bis 19. Novem</w:t>
      </w:r>
      <w:r w:rsidR="00BD42FE">
        <w:rPr>
          <w:sz w:val="22"/>
        </w:rPr>
        <w:t>ber 2004 in Bonn, Nomos, Baden-Baden 2006.</w:t>
      </w:r>
    </w:p>
    <w:p w14:paraId="0A84483B" w14:textId="77777777" w:rsidR="00121611" w:rsidRDefault="00121611" w:rsidP="000256F6">
      <w:pPr>
        <w:spacing w:line="320" w:lineRule="exact"/>
        <w:ind w:left="567" w:hanging="720"/>
        <w:jc w:val="both"/>
        <w:rPr>
          <w:sz w:val="22"/>
        </w:rPr>
      </w:pPr>
    </w:p>
    <w:p w14:paraId="0FD3BB74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Grundlagen des Verwaltungsrechts, Bd. </w:t>
      </w:r>
      <w:r w:rsidRPr="005B3008">
        <w:rPr>
          <w:sz w:val="22"/>
          <w:szCs w:val="22"/>
        </w:rPr>
        <w:t xml:space="preserve">I,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 xml:space="preserve">H. </w:t>
      </w:r>
      <w:r w:rsidRPr="005B3008">
        <w:rPr>
          <w:sz w:val="22"/>
          <w:szCs w:val="22"/>
        </w:rPr>
        <w:t>Beck,</w:t>
      </w:r>
      <w:r>
        <w:rPr>
          <w:sz w:val="22"/>
          <w:szCs w:val="22"/>
        </w:rPr>
        <w:t xml:space="preserve"> </w:t>
      </w:r>
      <w:r w:rsidR="000A2588">
        <w:rPr>
          <w:sz w:val="22"/>
          <w:szCs w:val="22"/>
        </w:rPr>
        <w:t>München, 1. Aufl. 2006,</w:t>
      </w:r>
      <w:r w:rsidR="004759CD">
        <w:rPr>
          <w:sz w:val="22"/>
          <w:szCs w:val="22"/>
        </w:rPr>
        <w:t xml:space="preserve"> 1346 S., 2. Aufl.</w:t>
      </w:r>
      <w:r w:rsidR="000A2588">
        <w:rPr>
          <w:sz w:val="22"/>
          <w:szCs w:val="22"/>
        </w:rPr>
        <w:t xml:space="preserve">, 1446 S. </w:t>
      </w:r>
      <w:r>
        <w:rPr>
          <w:sz w:val="22"/>
          <w:szCs w:val="22"/>
        </w:rPr>
        <w:t>(</w:t>
      </w:r>
      <w:r>
        <w:rPr>
          <w:sz w:val="22"/>
        </w:rPr>
        <w:t>herausgegeben</w:t>
      </w:r>
      <w:r>
        <w:rPr>
          <w:sz w:val="22"/>
          <w:szCs w:val="22"/>
        </w:rPr>
        <w:t xml:space="preserve"> zusammen mit Wolfgang Hoffmann-Riem und Eberhard Schmidt-Aßmann). </w:t>
      </w:r>
    </w:p>
    <w:p w14:paraId="48CB1793" w14:textId="77777777" w:rsidR="003E659A" w:rsidRDefault="003E659A" w:rsidP="003E659A">
      <w:pPr>
        <w:spacing w:line="320" w:lineRule="exact"/>
        <w:ind w:left="567" w:hanging="720"/>
        <w:jc w:val="both"/>
        <w:rPr>
          <w:sz w:val="22"/>
        </w:rPr>
      </w:pPr>
    </w:p>
    <w:p w14:paraId="3254325A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 xml:space="preserve">Wirtschaft im offenen Verfassungsstaat. Festschrift für Reiner Schmidt zum 70. </w:t>
      </w:r>
      <w:r w:rsidRPr="005B3008">
        <w:rPr>
          <w:sz w:val="22"/>
        </w:rPr>
        <w:t xml:space="preserve">Geburtstag,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>H. Beck</w:t>
      </w:r>
      <w:r w:rsidRPr="005B3008">
        <w:rPr>
          <w:sz w:val="22"/>
        </w:rPr>
        <w:t>,</w:t>
      </w:r>
      <w:r>
        <w:rPr>
          <w:sz w:val="22"/>
        </w:rPr>
        <w:t xml:space="preserve"> München 2006 (herausgegeben zusammen mit Hartmut Bauer, Detlef Czybulka und Wolfgang Kahl).</w:t>
      </w:r>
    </w:p>
    <w:p w14:paraId="631C7944" w14:textId="77777777" w:rsidR="003E659A" w:rsidRDefault="003E659A" w:rsidP="003E659A">
      <w:pPr>
        <w:spacing w:line="320" w:lineRule="exact"/>
        <w:ind w:left="567" w:hanging="720"/>
        <w:jc w:val="both"/>
        <w:rPr>
          <w:sz w:val="22"/>
        </w:rPr>
      </w:pPr>
    </w:p>
    <w:p w14:paraId="566505FC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</w:rPr>
      </w:pPr>
      <w:r>
        <w:rPr>
          <w:sz w:val="22"/>
        </w:rPr>
        <w:t xml:space="preserve">Internationales Verwaltungsrecht, </w:t>
      </w:r>
      <w:r w:rsidRPr="00CC239B">
        <w:rPr>
          <w:sz w:val="22"/>
        </w:rPr>
        <w:t>Mohr Siebeck, Tübingen</w:t>
      </w:r>
      <w:r>
        <w:rPr>
          <w:sz w:val="22"/>
        </w:rPr>
        <w:t xml:space="preserve"> 2007, 426 S. (herausgegeben zusammen mit Christoph Möllers und Christian Walter).</w:t>
      </w:r>
    </w:p>
    <w:p w14:paraId="7CA37E0B" w14:textId="77777777" w:rsidR="003E659A" w:rsidRDefault="003E659A" w:rsidP="003E659A">
      <w:pPr>
        <w:spacing w:line="320" w:lineRule="exact"/>
        <w:ind w:hanging="720"/>
        <w:jc w:val="both"/>
        <w:rPr>
          <w:sz w:val="22"/>
        </w:rPr>
      </w:pPr>
    </w:p>
    <w:p w14:paraId="2727629C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Grundlagen des Verwaltungsrechts</w:t>
      </w:r>
      <w:r w:rsidRPr="005B3008">
        <w:rPr>
          <w:sz w:val="22"/>
          <w:szCs w:val="22"/>
        </w:rPr>
        <w:t xml:space="preserve">, Bd. II,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 xml:space="preserve">H. </w:t>
      </w:r>
      <w:r w:rsidRPr="005B3008">
        <w:rPr>
          <w:sz w:val="22"/>
          <w:szCs w:val="22"/>
        </w:rPr>
        <w:t>Beck,</w:t>
      </w:r>
      <w:r>
        <w:rPr>
          <w:sz w:val="22"/>
          <w:szCs w:val="22"/>
        </w:rPr>
        <w:t xml:space="preserve"> München 1. Aufl. 2008, 1713 S.</w:t>
      </w:r>
      <w:r w:rsidR="004759CD">
        <w:rPr>
          <w:sz w:val="22"/>
          <w:szCs w:val="22"/>
        </w:rPr>
        <w:t xml:space="preserve">, 2. Aufl. 2012, 1859 S. </w:t>
      </w:r>
      <w:r>
        <w:rPr>
          <w:sz w:val="22"/>
          <w:szCs w:val="22"/>
        </w:rPr>
        <w:t xml:space="preserve"> (</w:t>
      </w:r>
      <w:r>
        <w:rPr>
          <w:sz w:val="22"/>
        </w:rPr>
        <w:t>herausgegeben</w:t>
      </w:r>
      <w:r>
        <w:rPr>
          <w:sz w:val="22"/>
          <w:szCs w:val="22"/>
        </w:rPr>
        <w:t xml:space="preserve"> zusammen mit Wolfgang Hoffmann-Riem und Eberhard Schmidt-Aßmann).</w:t>
      </w:r>
    </w:p>
    <w:p w14:paraId="2CFEC2D4" w14:textId="77777777" w:rsidR="003E659A" w:rsidRDefault="003E659A" w:rsidP="003E659A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448515C8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Governance von und durch </w:t>
      </w:r>
      <w:r w:rsidRPr="005B3008">
        <w:rPr>
          <w:sz w:val="22"/>
          <w:szCs w:val="22"/>
        </w:rPr>
        <w:t>Wissen, Nomos, Baden</w:t>
      </w:r>
      <w:r>
        <w:rPr>
          <w:sz w:val="22"/>
          <w:szCs w:val="22"/>
        </w:rPr>
        <w:t>-Baden 2008, 303 S. (herausgegeben zusammen mit Gunnar Folke Schuppert).</w:t>
      </w:r>
    </w:p>
    <w:p w14:paraId="40A18088" w14:textId="77777777" w:rsidR="003E659A" w:rsidRDefault="003E659A" w:rsidP="003E659A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0ECCCA4F" w14:textId="77777777" w:rsidR="003E659A" w:rsidRDefault="003E659A" w:rsidP="003E659A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Grundlagen des Verwaltungsrechts, </w:t>
      </w:r>
      <w:r w:rsidRPr="005B3008">
        <w:rPr>
          <w:sz w:val="22"/>
          <w:szCs w:val="22"/>
        </w:rPr>
        <w:t xml:space="preserve">Bd. III,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 xml:space="preserve">H. </w:t>
      </w:r>
      <w:r w:rsidRPr="005B3008">
        <w:rPr>
          <w:sz w:val="22"/>
          <w:szCs w:val="22"/>
        </w:rPr>
        <w:t xml:space="preserve">Beck, München </w:t>
      </w:r>
      <w:r>
        <w:rPr>
          <w:sz w:val="22"/>
          <w:szCs w:val="22"/>
        </w:rPr>
        <w:t xml:space="preserve">1. Aufl. </w:t>
      </w:r>
      <w:r w:rsidR="004759CD">
        <w:rPr>
          <w:sz w:val="22"/>
          <w:szCs w:val="22"/>
        </w:rPr>
        <w:t>2009, 1363 S., 2. Aufl. 2013</w:t>
      </w:r>
      <w:r w:rsidR="004759CD" w:rsidRPr="00E942FA">
        <w:rPr>
          <w:sz w:val="22"/>
          <w:szCs w:val="22"/>
        </w:rPr>
        <w:t xml:space="preserve">, </w:t>
      </w:r>
      <w:r w:rsidR="004759CD">
        <w:rPr>
          <w:sz w:val="22"/>
          <w:szCs w:val="22"/>
        </w:rPr>
        <w:t>1537 S.</w:t>
      </w:r>
      <w:r w:rsidR="004759CD" w:rsidRPr="005B3008">
        <w:rPr>
          <w:sz w:val="22"/>
          <w:szCs w:val="22"/>
        </w:rPr>
        <w:t xml:space="preserve"> </w:t>
      </w:r>
      <w:r w:rsidRPr="005B3008">
        <w:rPr>
          <w:sz w:val="22"/>
          <w:szCs w:val="22"/>
        </w:rPr>
        <w:t>(</w:t>
      </w:r>
      <w:r w:rsidRPr="005B3008">
        <w:rPr>
          <w:sz w:val="22"/>
        </w:rPr>
        <w:t>herausgegeben</w:t>
      </w:r>
      <w:r w:rsidRPr="005B3008">
        <w:rPr>
          <w:sz w:val="22"/>
          <w:szCs w:val="22"/>
        </w:rPr>
        <w:t xml:space="preserve"> zusammen mit Wolfgang Hoffmann-Riem und Eberhard</w:t>
      </w:r>
      <w:r>
        <w:rPr>
          <w:sz w:val="22"/>
          <w:szCs w:val="22"/>
        </w:rPr>
        <w:t xml:space="preserve"> Schmidt-Aßmann).</w:t>
      </w:r>
    </w:p>
    <w:p w14:paraId="54CFACAD" w14:textId="77777777" w:rsidR="00794176" w:rsidRDefault="00794176" w:rsidP="00794176">
      <w:pPr>
        <w:pStyle w:val="Listenabsatz"/>
        <w:rPr>
          <w:sz w:val="22"/>
          <w:szCs w:val="22"/>
        </w:rPr>
      </w:pPr>
    </w:p>
    <w:p w14:paraId="3E2044EF" w14:textId="37D5ECC4" w:rsidR="00794176" w:rsidRDefault="00794176" w:rsidP="0079417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>Krakauer-Augsburger Rechtsstudien – Öffentliches Wirtschaftsrecht im Zeitalter der Globalisierung</w:t>
      </w:r>
      <w:r>
        <w:rPr>
          <w:sz w:val="22"/>
          <w:szCs w:val="22"/>
        </w:rPr>
        <w:t xml:space="preserve"> (herausgegeben zusammen mit</w:t>
      </w:r>
      <w:r w:rsidRPr="006A5BBD">
        <w:rPr>
          <w:sz w:val="22"/>
          <w:szCs w:val="22"/>
        </w:rPr>
        <w:t xml:space="preserve"> Hartmut Bauer</w:t>
      </w:r>
      <w:r>
        <w:rPr>
          <w:sz w:val="22"/>
          <w:szCs w:val="22"/>
        </w:rPr>
        <w:t xml:space="preserve">, </w:t>
      </w:r>
      <w:r w:rsidRPr="006A5BBD">
        <w:rPr>
          <w:sz w:val="22"/>
          <w:szCs w:val="22"/>
        </w:rPr>
        <w:t>Detlef Czybulka</w:t>
      </w:r>
      <w:r>
        <w:rPr>
          <w:sz w:val="22"/>
          <w:szCs w:val="22"/>
        </w:rPr>
        <w:t xml:space="preserve">, </w:t>
      </w:r>
      <w:r w:rsidRPr="006A5BBD">
        <w:rPr>
          <w:sz w:val="22"/>
          <w:szCs w:val="22"/>
        </w:rPr>
        <w:t>Wolf</w:t>
      </w:r>
      <w:r>
        <w:rPr>
          <w:sz w:val="22"/>
          <w:szCs w:val="22"/>
        </w:rPr>
        <w:t>gang Kahl und Jerzy Stelmach</w:t>
      </w:r>
      <w:r w:rsidRPr="006A5BBD">
        <w:rPr>
          <w:sz w:val="22"/>
          <w:szCs w:val="22"/>
        </w:rPr>
        <w:t xml:space="preserve">), Warszawa 2012, S. 81-104. </w:t>
      </w:r>
    </w:p>
    <w:p w14:paraId="485BAD53" w14:textId="77777777" w:rsidR="00794176" w:rsidRDefault="00794176" w:rsidP="00794176">
      <w:pPr>
        <w:pStyle w:val="Listenabsatz"/>
        <w:rPr>
          <w:sz w:val="22"/>
          <w:szCs w:val="22"/>
        </w:rPr>
      </w:pPr>
    </w:p>
    <w:p w14:paraId="7DA8C512" w14:textId="77777777" w:rsidR="00794176" w:rsidRDefault="00794176" w:rsidP="00794176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Verabschiedung und Wiederentdeckung des Staates im Spannungsfeld der Disziplinen, Beiheft 21 der Zeitschrift „DER STAAT“, Duncker &amp; Humblot, Berlin 2013, 388 S. (herausgegeben zusammen mit Christian Bumke und Florian Meinel).</w:t>
      </w:r>
    </w:p>
    <w:p w14:paraId="724E1495" w14:textId="77777777" w:rsidR="006F20EE" w:rsidRDefault="006F20EE" w:rsidP="006F20EE">
      <w:pPr>
        <w:pStyle w:val="FarbigeListe-Akzent11"/>
        <w:rPr>
          <w:sz w:val="22"/>
          <w:szCs w:val="22"/>
        </w:rPr>
      </w:pPr>
    </w:p>
    <w:p w14:paraId="38789F4D" w14:textId="77777777" w:rsidR="006F20EE" w:rsidRDefault="006F20EE" w:rsidP="006F20EE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F20EE">
        <w:rPr>
          <w:sz w:val="22"/>
          <w:szCs w:val="22"/>
        </w:rPr>
        <w:t xml:space="preserve">Festschrift für Klaus Tolksdorf zum 65. Geburtstag, </w:t>
      </w:r>
      <w:r w:rsidR="004F2AB5">
        <w:rPr>
          <w:sz w:val="22"/>
          <w:szCs w:val="22"/>
        </w:rPr>
        <w:t xml:space="preserve">Carl Heymanns Verlag, </w:t>
      </w:r>
      <w:r w:rsidRPr="006F20EE">
        <w:rPr>
          <w:sz w:val="22"/>
          <w:szCs w:val="22"/>
        </w:rPr>
        <w:t>Köln 2014, 597 Seiten (</w:t>
      </w:r>
      <w:r w:rsidR="00906538">
        <w:rPr>
          <w:sz w:val="22"/>
          <w:szCs w:val="22"/>
        </w:rPr>
        <w:t xml:space="preserve">herausgegeben </w:t>
      </w:r>
      <w:r w:rsidRPr="006F20EE">
        <w:rPr>
          <w:sz w:val="22"/>
          <w:szCs w:val="22"/>
        </w:rPr>
        <w:t>zusammen mit Friedrich Dencker und Gregor Galke)</w:t>
      </w:r>
      <w:r>
        <w:rPr>
          <w:sz w:val="22"/>
          <w:szCs w:val="22"/>
        </w:rPr>
        <w:t>.</w:t>
      </w:r>
    </w:p>
    <w:p w14:paraId="06841A87" w14:textId="77777777" w:rsidR="000A2588" w:rsidRDefault="000A2588" w:rsidP="000A2588">
      <w:pPr>
        <w:spacing w:line="320" w:lineRule="exact"/>
        <w:jc w:val="both"/>
        <w:rPr>
          <w:sz w:val="22"/>
          <w:szCs w:val="22"/>
        </w:rPr>
      </w:pPr>
    </w:p>
    <w:p w14:paraId="14FA6072" w14:textId="534A8F42" w:rsidR="000A2588" w:rsidRDefault="00953FDA" w:rsidP="006F20EE">
      <w:pPr>
        <w:numPr>
          <w:ilvl w:val="0"/>
          <w:numId w:val="1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A2588">
        <w:rPr>
          <w:sz w:val="22"/>
          <w:szCs w:val="22"/>
        </w:rPr>
        <w:t>on Mangoldt/Klein/Starck, Kommentar zum Grundgesetz, C. H. Beck, München, 7. Aufl</w:t>
      </w:r>
      <w:r w:rsidR="003358F8">
        <w:rPr>
          <w:sz w:val="22"/>
          <w:szCs w:val="22"/>
        </w:rPr>
        <w:t>. 2018, 3 Bände, ca. 6000 S.</w:t>
      </w:r>
      <w:r w:rsidR="000A2588">
        <w:rPr>
          <w:sz w:val="22"/>
          <w:szCs w:val="22"/>
        </w:rPr>
        <w:t xml:space="preserve">, </w:t>
      </w:r>
      <w:r w:rsidR="003358F8">
        <w:rPr>
          <w:sz w:val="22"/>
          <w:szCs w:val="22"/>
        </w:rPr>
        <w:t>(</w:t>
      </w:r>
      <w:r w:rsidR="000A2588">
        <w:rPr>
          <w:sz w:val="22"/>
          <w:szCs w:val="22"/>
        </w:rPr>
        <w:t>herausgegeben zusammen mit Peter Huber</w:t>
      </w:r>
      <w:r w:rsidR="003358F8">
        <w:rPr>
          <w:sz w:val="22"/>
          <w:szCs w:val="22"/>
        </w:rPr>
        <w:t>)</w:t>
      </w:r>
      <w:r w:rsidR="004759CD">
        <w:rPr>
          <w:sz w:val="22"/>
          <w:szCs w:val="22"/>
        </w:rPr>
        <w:t>.</w:t>
      </w:r>
    </w:p>
    <w:p w14:paraId="20CBB5FF" w14:textId="77777777" w:rsidR="006F20EE" w:rsidRDefault="006F20EE" w:rsidP="006F20EE">
      <w:pPr>
        <w:spacing w:line="320" w:lineRule="exact"/>
        <w:jc w:val="both"/>
        <w:rPr>
          <w:sz w:val="22"/>
          <w:szCs w:val="22"/>
        </w:rPr>
      </w:pPr>
    </w:p>
    <w:p w14:paraId="636008FC" w14:textId="77777777" w:rsidR="009562FE" w:rsidRDefault="009562FE" w:rsidP="006F20EE">
      <w:pPr>
        <w:spacing w:line="320" w:lineRule="exact"/>
        <w:jc w:val="both"/>
        <w:rPr>
          <w:sz w:val="22"/>
          <w:szCs w:val="22"/>
        </w:rPr>
      </w:pPr>
    </w:p>
    <w:p w14:paraId="4211C6E9" w14:textId="77777777" w:rsidR="006F20EE" w:rsidRDefault="006F20EE" w:rsidP="009562FE">
      <w:pPr>
        <w:spacing w:line="320" w:lineRule="exact"/>
        <w:ind w:left="720"/>
        <w:rPr>
          <w:sz w:val="22"/>
          <w:szCs w:val="22"/>
        </w:rPr>
      </w:pPr>
    </w:p>
    <w:p w14:paraId="3F08B93A" w14:textId="77777777" w:rsidR="004C2A3F" w:rsidRDefault="00DC38D0">
      <w:pPr>
        <w:tabs>
          <w:tab w:val="left" w:pos="567"/>
        </w:tabs>
        <w:ind w:left="567" w:hanging="567"/>
        <w:jc w:val="both"/>
        <w:rPr>
          <w:b/>
          <w:sz w:val="28"/>
        </w:rPr>
      </w:pPr>
      <w:r>
        <w:rPr>
          <w:b/>
          <w:sz w:val="28"/>
        </w:rPr>
        <w:t>I</w:t>
      </w:r>
      <w:r w:rsidR="004C2A3F">
        <w:rPr>
          <w:b/>
          <w:sz w:val="28"/>
        </w:rPr>
        <w:t>II.</w:t>
      </w:r>
      <w:r w:rsidR="004C2A3F">
        <w:rPr>
          <w:b/>
          <w:sz w:val="28"/>
        </w:rPr>
        <w:tab/>
        <w:t>Kommentierungen</w:t>
      </w:r>
      <w:r w:rsidR="00DF5DE9">
        <w:rPr>
          <w:b/>
          <w:sz w:val="28"/>
        </w:rPr>
        <w:t xml:space="preserve"> und Handbuchbeiträge</w:t>
      </w:r>
    </w:p>
    <w:p w14:paraId="4CB6C514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AB37665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Kommentierung Art. 93 GG, in: von Mangoldt/Klein/Starck (Hrsg.), Kommentar zum Grundgesetz, Bd. 3, Vahlen, München, 4. Aufl. 2001, 5. Aufl. 2006, 6. Aufl. 2010</w:t>
      </w:r>
      <w:r w:rsidR="000A2588">
        <w:rPr>
          <w:sz w:val="22"/>
        </w:rPr>
        <w:t>, 7. Aufl 2018</w:t>
      </w:r>
      <w:r>
        <w:rPr>
          <w:sz w:val="22"/>
        </w:rPr>
        <w:t>.</w:t>
      </w:r>
    </w:p>
    <w:p w14:paraId="71D1CA45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849A125" w14:textId="77777777" w:rsidR="003E659A" w:rsidRDefault="003E659A" w:rsidP="003E659A">
      <w:pPr>
        <w:pStyle w:val="Textkrper-Zeileneinzug"/>
        <w:tabs>
          <w:tab w:val="left" w:pos="567"/>
        </w:tabs>
        <w:ind w:left="567" w:hanging="567"/>
      </w:pPr>
      <w:r>
        <w:t>2.</w:t>
      </w:r>
      <w:r>
        <w:tab/>
        <w:t>Kommentierung Art. 94 GG, in: von Mangoldt/Klein/Starck (Hrsg.), Kommentar zum Grundgesetz, Bd. 3, Vahlen, München, 4. Aufl. 2001, 5. Aufl. 2006, 6. Aufl. 2010</w:t>
      </w:r>
      <w:r w:rsidR="000A2588">
        <w:t>, 7. Aufl. 2018</w:t>
      </w:r>
      <w:r>
        <w:t>.</w:t>
      </w:r>
    </w:p>
    <w:p w14:paraId="5BB7C774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46BA421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Kommentierung Art. 95 GG, in: von Mangoldt/Klein/Starck (Hrsg.), Kommentar zum Grundgesetz, Bd. 3, Vahlen, München, 4. Aufl. 2001, 5. Aufl. 2006, 6. Aufl. 2010</w:t>
      </w:r>
      <w:r w:rsidR="000A2588">
        <w:rPr>
          <w:sz w:val="22"/>
        </w:rPr>
        <w:t>, 7. Aufl. 2018</w:t>
      </w:r>
      <w:r>
        <w:rPr>
          <w:sz w:val="22"/>
        </w:rPr>
        <w:t>.</w:t>
      </w:r>
    </w:p>
    <w:p w14:paraId="20844A8D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E2CBE6B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Kommentierung Art. 96 GG, in: von Mangoldt/Klein/Starck (Hrsg.), Kommentar zum Grundgesetz, Bd. 3, Vahlen, München, 4. Aufl. 2001, 5. Aufl. 2006, 6. Aufl. 2010</w:t>
      </w:r>
      <w:r w:rsidR="000A2588">
        <w:rPr>
          <w:sz w:val="22"/>
        </w:rPr>
        <w:t>, 7. Aufl. 2018</w:t>
      </w:r>
      <w:r>
        <w:rPr>
          <w:sz w:val="22"/>
        </w:rPr>
        <w:t>.</w:t>
      </w:r>
    </w:p>
    <w:p w14:paraId="6591D560" w14:textId="77777777" w:rsidR="003E659A" w:rsidRDefault="003E659A" w:rsidP="003E659A">
      <w:pPr>
        <w:tabs>
          <w:tab w:val="left" w:pos="567"/>
        </w:tabs>
        <w:spacing w:line="320" w:lineRule="exact"/>
        <w:ind w:hanging="567"/>
        <w:jc w:val="both"/>
        <w:rPr>
          <w:sz w:val="24"/>
        </w:rPr>
      </w:pPr>
    </w:p>
    <w:p w14:paraId="26B3C128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 w:rsidRPr="0025481E">
        <w:rPr>
          <w:sz w:val="22"/>
          <w:szCs w:val="22"/>
        </w:rPr>
        <w:t>5.</w:t>
      </w:r>
      <w:r w:rsidRPr="0025481E">
        <w:rPr>
          <w:sz w:val="22"/>
          <w:szCs w:val="22"/>
        </w:rPr>
        <w:tab/>
        <w:t>Sachverständige Beratung des Staates, in: Josef Isensee/Paul Kirchhof (Hrsg.), Handbuch des Staatsrechts</w:t>
      </w:r>
      <w:r>
        <w:rPr>
          <w:sz w:val="22"/>
          <w:szCs w:val="22"/>
        </w:rPr>
        <w:t xml:space="preserve">, Bd. III, </w:t>
      </w:r>
      <w:r w:rsidRPr="005B3008">
        <w:rPr>
          <w:sz w:val="22"/>
        </w:rPr>
        <w:t>C.</w:t>
      </w:r>
      <w:r w:rsidRPr="001F071D">
        <w:rPr>
          <w:sz w:val="8"/>
          <w:szCs w:val="8"/>
        </w:rPr>
        <w:t> </w:t>
      </w:r>
      <w:r w:rsidRPr="005B3008">
        <w:rPr>
          <w:sz w:val="22"/>
        </w:rPr>
        <w:t xml:space="preserve">F. </w:t>
      </w:r>
      <w:r>
        <w:rPr>
          <w:sz w:val="22"/>
          <w:szCs w:val="22"/>
        </w:rPr>
        <w:t xml:space="preserve">Müller, Heidelberg, 3. Aufl. 2005, § 43, S. 425-475. </w:t>
      </w:r>
    </w:p>
    <w:p w14:paraId="5905E9FB" w14:textId="77777777" w:rsidR="003E659A" w:rsidRDefault="003E659A" w:rsidP="003E659A">
      <w:pPr>
        <w:tabs>
          <w:tab w:val="left" w:pos="567"/>
        </w:tabs>
        <w:spacing w:line="320" w:lineRule="exact"/>
        <w:ind w:left="360"/>
        <w:jc w:val="both"/>
        <w:rPr>
          <w:sz w:val="22"/>
          <w:szCs w:val="22"/>
        </w:rPr>
      </w:pPr>
    </w:p>
    <w:p w14:paraId="52EE22D7" w14:textId="77777777" w:rsidR="003E659A" w:rsidRDefault="003E659A" w:rsidP="003E659A">
      <w:pPr>
        <w:numPr>
          <w:ilvl w:val="0"/>
          <w:numId w:val="9"/>
        </w:numPr>
        <w:tabs>
          <w:tab w:val="clear" w:pos="927"/>
          <w:tab w:val="num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Neue Verwaltungsrechtswissenschaft, in: Wolfgang Hoffmann-Riem/Eberhard Schmidt-Aßmann/Andreas Voßkuhle (Hrsg.), Grundlagen des Verwaltungsrechts, Bd. I, </w:t>
      </w:r>
      <w:r>
        <w:rPr>
          <w:sz w:val="22"/>
        </w:rPr>
        <w:t>C.</w:t>
      </w:r>
      <w:r w:rsidRPr="001F071D">
        <w:rPr>
          <w:sz w:val="8"/>
          <w:szCs w:val="8"/>
        </w:rPr>
        <w:t> </w:t>
      </w:r>
      <w:r>
        <w:rPr>
          <w:sz w:val="22"/>
        </w:rPr>
        <w:t xml:space="preserve">H. </w:t>
      </w:r>
      <w:r>
        <w:rPr>
          <w:sz w:val="22"/>
          <w:szCs w:val="22"/>
        </w:rPr>
        <w:t>Beck, München, 1. Auf</w:t>
      </w:r>
      <w:r w:rsidRPr="0050155D">
        <w:rPr>
          <w:sz w:val="22"/>
          <w:szCs w:val="22"/>
        </w:rPr>
        <w:t xml:space="preserve">l. 2006, </w:t>
      </w:r>
      <w:r w:rsidRPr="00BD22D8">
        <w:rPr>
          <w:sz w:val="22"/>
          <w:szCs w:val="22"/>
        </w:rPr>
        <w:t>2. Aufl. 2012,</w:t>
      </w:r>
      <w:r w:rsidR="00E942FA">
        <w:rPr>
          <w:sz w:val="22"/>
          <w:szCs w:val="22"/>
        </w:rPr>
        <w:t xml:space="preserve"> § 1, S. </w:t>
      </w:r>
      <w:r w:rsidR="00581019">
        <w:rPr>
          <w:sz w:val="22"/>
          <w:szCs w:val="22"/>
        </w:rPr>
        <w:t>1-63</w:t>
      </w:r>
      <w:r>
        <w:rPr>
          <w:sz w:val="22"/>
          <w:szCs w:val="22"/>
        </w:rPr>
        <w:t>.</w:t>
      </w:r>
    </w:p>
    <w:p w14:paraId="14BB7816" w14:textId="77777777" w:rsidR="003E659A" w:rsidRDefault="003E659A" w:rsidP="003E659A">
      <w:pPr>
        <w:tabs>
          <w:tab w:val="left" w:pos="567"/>
        </w:tabs>
        <w:spacing w:line="320" w:lineRule="exact"/>
        <w:jc w:val="both"/>
        <w:rPr>
          <w:sz w:val="22"/>
          <w:szCs w:val="22"/>
        </w:rPr>
      </w:pPr>
    </w:p>
    <w:p w14:paraId="76FA9FA2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Personal, in: Wolfgang Hoffmann-Riem/Eberhard Schmidt-Aßmann/Andreas Voßkuhle (Hrsg.), Grundlagen </w:t>
      </w:r>
      <w:r w:rsidRPr="00E942FA">
        <w:rPr>
          <w:sz w:val="22"/>
          <w:szCs w:val="22"/>
        </w:rPr>
        <w:t xml:space="preserve">des Verwaltungsrechts, Bd. III, </w:t>
      </w:r>
      <w:r w:rsidRPr="00E942FA">
        <w:rPr>
          <w:sz w:val="22"/>
        </w:rPr>
        <w:t>C.</w:t>
      </w:r>
      <w:r w:rsidRPr="00E942FA">
        <w:rPr>
          <w:sz w:val="8"/>
          <w:szCs w:val="8"/>
        </w:rPr>
        <w:t> </w:t>
      </w:r>
      <w:r w:rsidRPr="00E942FA">
        <w:rPr>
          <w:sz w:val="22"/>
        </w:rPr>
        <w:t xml:space="preserve">H. </w:t>
      </w:r>
      <w:r w:rsidRPr="00E942FA">
        <w:rPr>
          <w:sz w:val="22"/>
          <w:szCs w:val="22"/>
        </w:rPr>
        <w:t xml:space="preserve">Beck, München, 1. Aufl. 2009, </w:t>
      </w:r>
      <w:r w:rsidR="00581019" w:rsidRPr="00E942FA">
        <w:rPr>
          <w:sz w:val="22"/>
          <w:szCs w:val="22"/>
        </w:rPr>
        <w:t>§ 43,</w:t>
      </w:r>
      <w:r w:rsidR="00581019">
        <w:rPr>
          <w:sz w:val="22"/>
          <w:szCs w:val="22"/>
        </w:rPr>
        <w:t xml:space="preserve"> S. 3-81</w:t>
      </w:r>
      <w:r w:rsidR="00852C9A">
        <w:rPr>
          <w:sz w:val="22"/>
          <w:szCs w:val="22"/>
        </w:rPr>
        <w:t>,</w:t>
      </w:r>
      <w:r w:rsidR="00852C9A" w:rsidRPr="00852C9A">
        <w:rPr>
          <w:sz w:val="22"/>
          <w:szCs w:val="22"/>
        </w:rPr>
        <w:t xml:space="preserve"> </w:t>
      </w:r>
      <w:r w:rsidR="00A01951">
        <w:rPr>
          <w:sz w:val="22"/>
          <w:szCs w:val="22"/>
        </w:rPr>
        <w:t>2. Aufl. 2013</w:t>
      </w:r>
      <w:r w:rsidR="00852C9A">
        <w:rPr>
          <w:sz w:val="22"/>
          <w:szCs w:val="22"/>
        </w:rPr>
        <w:t>, S. 1-89.</w:t>
      </w:r>
    </w:p>
    <w:p w14:paraId="07CAFA2C" w14:textId="77777777" w:rsidR="003E659A" w:rsidRDefault="003E659A" w:rsidP="003E659A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</w:p>
    <w:p w14:paraId="10EC2841" w14:textId="77777777" w:rsidR="00674369" w:rsidRDefault="003E659A" w:rsidP="00674369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ab/>
        <w:t xml:space="preserve">Präventive Richtervorbehalte, in: Detlef Merten/Hans-Jürgen Papier (Hrsg.), Handbuch der Grundrechte in Deutschland und Europa, Bd. V, </w:t>
      </w:r>
      <w:r w:rsidRPr="005B3008">
        <w:rPr>
          <w:sz w:val="22"/>
        </w:rPr>
        <w:t>C.</w:t>
      </w:r>
      <w:r w:rsidRPr="001F071D">
        <w:rPr>
          <w:sz w:val="8"/>
          <w:szCs w:val="8"/>
        </w:rPr>
        <w:t> </w:t>
      </w:r>
      <w:r w:rsidRPr="005B3008">
        <w:rPr>
          <w:sz w:val="22"/>
        </w:rPr>
        <w:t xml:space="preserve">F. </w:t>
      </w:r>
      <w:r>
        <w:rPr>
          <w:sz w:val="22"/>
          <w:szCs w:val="22"/>
        </w:rPr>
        <w:t>Müller, Heidelberg</w:t>
      </w:r>
      <w:r w:rsidR="00674369">
        <w:rPr>
          <w:sz w:val="22"/>
          <w:szCs w:val="22"/>
        </w:rPr>
        <w:t xml:space="preserve"> 2013, § 131, </w:t>
      </w:r>
    </w:p>
    <w:p w14:paraId="4ED0F6EA" w14:textId="77777777" w:rsidR="003E659A" w:rsidRDefault="00674369" w:rsidP="00674369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S. 1193-1269.</w:t>
      </w:r>
    </w:p>
    <w:p w14:paraId="419D5CC7" w14:textId="77777777" w:rsidR="00DF5DE9" w:rsidRDefault="00DF5DE9" w:rsidP="00923E43">
      <w:pPr>
        <w:tabs>
          <w:tab w:val="left" w:pos="567"/>
        </w:tabs>
        <w:spacing w:line="320" w:lineRule="exact"/>
        <w:ind w:hanging="567"/>
        <w:jc w:val="both"/>
        <w:rPr>
          <w:sz w:val="22"/>
          <w:szCs w:val="22"/>
        </w:rPr>
      </w:pPr>
    </w:p>
    <w:p w14:paraId="4CFD1C1A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</w:p>
    <w:p w14:paraId="76458A1A" w14:textId="77777777" w:rsidR="009562FE" w:rsidRPr="00607DC3" w:rsidRDefault="009562FE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</w:p>
    <w:p w14:paraId="252BFB2C" w14:textId="77777777" w:rsidR="004C2A3F" w:rsidRDefault="004C2A3F">
      <w:pPr>
        <w:tabs>
          <w:tab w:val="left" w:pos="567"/>
        </w:tabs>
        <w:ind w:left="567" w:hanging="567"/>
        <w:jc w:val="both"/>
        <w:rPr>
          <w:b/>
          <w:sz w:val="28"/>
        </w:rPr>
      </w:pPr>
      <w:r>
        <w:rPr>
          <w:b/>
          <w:sz w:val="28"/>
        </w:rPr>
        <w:t>I</w:t>
      </w:r>
      <w:r w:rsidR="00DC38D0">
        <w:rPr>
          <w:b/>
          <w:sz w:val="28"/>
        </w:rPr>
        <w:t>V</w:t>
      </w:r>
      <w:r>
        <w:rPr>
          <w:b/>
          <w:sz w:val="28"/>
        </w:rPr>
        <w:t>.</w:t>
      </w:r>
      <w:r>
        <w:rPr>
          <w:b/>
          <w:sz w:val="28"/>
        </w:rPr>
        <w:tab/>
        <w:t>Unselbständige wissenschaftliche Abhandlungen</w:t>
      </w:r>
    </w:p>
    <w:p w14:paraId="234F85C7" w14:textId="77777777" w:rsidR="004C2A3F" w:rsidRPr="00607DC3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  <w:szCs w:val="22"/>
        </w:rPr>
      </w:pPr>
    </w:p>
    <w:p w14:paraId="3CCBDF03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„Grundrechtspolitik" und Asylkompromiß. Zur Verfassungsänderung als Instrument politischer Konfliktbewältigung am Beispiel des Art. 16a GG, in: DÖV 1994, S. 53-66.</w:t>
      </w:r>
    </w:p>
    <w:p w14:paraId="74374702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07AC1E87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Verfassungsstil und Verfassungsfunktion. Ein Beitrag zum Verfassungshandwerk, in: AöR Bd. 119 (1994), S. 35-60.</w:t>
      </w:r>
    </w:p>
    <w:p w14:paraId="711BCBD3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26752FD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Behördliche Betretungs- und Nachschaurechte. Versuch einer dogmatischen Klärung, in: DVBl. 1994, S. 611-620.</w:t>
      </w:r>
    </w:p>
    <w:p w14:paraId="60E79F21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30D0B26B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Verwaltungsdogmatik und Rechtstatsachenforschung. Eine Problemskizze, in: VerwArch. Bd. 85 (1994), S. 567-585. </w:t>
      </w:r>
    </w:p>
    <w:p w14:paraId="51598F42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73D9AF64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Der relative Verwaltungsakt </w:t>
      </w:r>
      <w:r w:rsidR="001A0B81">
        <w:rPr>
          <w:sz w:val="22"/>
          <w:szCs w:val="22"/>
        </w:rPr>
        <w:t>–</w:t>
      </w:r>
      <w:r w:rsidRPr="00A771DC">
        <w:rPr>
          <w:sz w:val="22"/>
          <w:szCs w:val="22"/>
        </w:rPr>
        <w:t xml:space="preserve"> eine unzulässige Handlungsform, in: SächsVBl. 1995, S. 54-57.</w:t>
      </w:r>
    </w:p>
    <w:p w14:paraId="012A760F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4FFD21F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Erosionserscheinungen des zivilprozessualen Rechtsmittelsystems, in: NJW 1995, S. 1377-1384.</w:t>
      </w:r>
    </w:p>
    <w:p w14:paraId="752CE3B3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62839AB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Bauordnungsrechtliches Verunstaltungsgebot und Baukunst. Zugleich ein Beitrag zur Grundrechtskonkurrenz und zu verfassungsimmanenten Grundrechtsschranken, in: BayVBl. 1995, S. 613-622.</w:t>
      </w:r>
    </w:p>
    <w:p w14:paraId="603947D6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1085BA1B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Glücksspiel zwischen Staat und Markt. Eine Bestandsaufnahme vor dem Hintergrund verfassungs- und europarechtlicher Vorgaben, in: VerwArch. Bd. 87 (1996), S. 395-430.</w:t>
      </w:r>
    </w:p>
    <w:p w14:paraId="75415DB8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67B559B9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Duldung rechtswidrigen Verwaltungshandelns? Zu den Grenzen des Opportu</w:t>
      </w:r>
      <w:r w:rsidRPr="00A771DC">
        <w:rPr>
          <w:sz w:val="22"/>
          <w:szCs w:val="22"/>
        </w:rPr>
        <w:softHyphen/>
        <w:t>nitätsprinzips, in: Die Verwaltung Bd. 29 (1996), S. 511-538.</w:t>
      </w:r>
    </w:p>
    <w:p w14:paraId="333FEE0B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369BDBB0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Kodifikation als Prozeß. Zur Bedeutung der Kodifikationsidee in heutiger Zeit unter besonderer Berücksichtigung der Arbeiten an einem Umwelt</w:t>
      </w:r>
      <w:r w:rsidRPr="00A771DC">
        <w:rPr>
          <w:sz w:val="22"/>
          <w:szCs w:val="22"/>
        </w:rPr>
        <w:softHyphen/>
        <w:t>gesetzbuch, in: Hans Schlosser (Hrsg.), Bürgerliches Gesetzbuch 1896</w:t>
      </w:r>
      <w:r w:rsidRPr="00A771DC">
        <w:rPr>
          <w:sz w:val="22"/>
          <w:szCs w:val="22"/>
        </w:rPr>
        <w:noBreakHyphen/>
        <w:t>1996, Augsburger Rechtsstudien Bd. 27, Heidelberg 1997, S. 77-95.</w:t>
      </w:r>
    </w:p>
    <w:p w14:paraId="1447B18D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1D73340F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lastRenderedPageBreak/>
        <w:t>Der Grundsatz der Verfassungsorgantreue und die Kritik am Bundesverfassungsgericht, in: NJW 1997, S. 2216-2219.</w:t>
      </w:r>
    </w:p>
    <w:p w14:paraId="67A0E203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220B80A2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„Wer zuerst kommt mahlt zuerst!“ Das Prioritätsprinzip als antiquierter Verteilungsmodus einer modernen Rechtsordnung, in: Die Verwaltung Bd. 32 (1999), S. 21-41</w:t>
      </w:r>
      <w:r w:rsidR="004D776E" w:rsidRPr="00A771DC">
        <w:rPr>
          <w:sz w:val="22"/>
          <w:szCs w:val="22"/>
        </w:rPr>
        <w:t>.</w:t>
      </w:r>
    </w:p>
    <w:p w14:paraId="2E527DC7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2DAFF43D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Gesetzgeberische Regelungsstrategien der Verantwortungsteilung zwischen öffentlichem und privatem Sektor, in: Gunnar Folke Schuppert (Hrsg.), Jenseits von Privatisierung und „schlankem“ Staat: Verantwortungsteilung als Schlüsselbegriff eines sich verändernden Verhältnisses von öffentlichem und privatem Sektor, Berliner Staatswissenschaftliche Abhandlungen Bd. 8, </w:t>
      </w:r>
      <w:r w:rsidR="00BD42FE">
        <w:rPr>
          <w:sz w:val="22"/>
          <w:szCs w:val="22"/>
        </w:rPr>
        <w:t xml:space="preserve">Nomos, </w:t>
      </w:r>
      <w:r w:rsidRPr="00A771DC">
        <w:rPr>
          <w:sz w:val="22"/>
          <w:szCs w:val="22"/>
        </w:rPr>
        <w:t>Baden-Baden 1999, S. 47-90.</w:t>
      </w:r>
    </w:p>
    <w:p w14:paraId="5239A3CC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084DA892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Die Reform des Verwaltungsrechts als Projekt der Wissenschaft, in: Die Verwaltung Bd. 32 (1999), S. 45-54.</w:t>
      </w:r>
    </w:p>
    <w:p w14:paraId="2648AC40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4D04EA77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Theorie und Praxis der verfassungskonformen Auslegung von Gesetzen durch Fachgerichte. Kritische Bestandsaufnahme und Versuch einer Neubestimmung, in: AöR Bd. 125 (2000), S. 177-201.</w:t>
      </w:r>
    </w:p>
    <w:p w14:paraId="50A3C18E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354534C3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Der Wandel von Verwaltungsrecht und Verwaltungsprozeßrecht in der Informationsgesellschaft, in: W</w:t>
      </w:r>
      <w:r w:rsidR="00DF1BCD">
        <w:rPr>
          <w:sz w:val="22"/>
          <w:szCs w:val="22"/>
        </w:rPr>
        <w:t>olfgang Hoffmann-Riem/Eberhard</w:t>
      </w:r>
      <w:r w:rsidRPr="00A771DC">
        <w:rPr>
          <w:sz w:val="22"/>
          <w:szCs w:val="22"/>
        </w:rPr>
        <w:t xml:space="preserve"> Schmidt-Aßmann (Hrsg.), Verwaltungsrecht in der Informationsgesellschaft, </w:t>
      </w:r>
      <w:r w:rsidR="00DF1BCD">
        <w:rPr>
          <w:sz w:val="22"/>
          <w:szCs w:val="22"/>
        </w:rPr>
        <w:t xml:space="preserve">Nomos, </w:t>
      </w:r>
      <w:r w:rsidRPr="00A771DC">
        <w:rPr>
          <w:sz w:val="22"/>
          <w:szCs w:val="22"/>
        </w:rPr>
        <w:t>Baden-Baden 2000, S. 349-404.</w:t>
      </w:r>
    </w:p>
    <w:p w14:paraId="3B05DDF4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6B20AD8F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Das Kooperationsprinzip im Immissionsschutzrecht, in: ZUR 2001, S. 23-28.</w:t>
      </w:r>
    </w:p>
    <w:p w14:paraId="5FAF3192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F0D9A29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  <w:lang w:val="en-GB"/>
        </w:rPr>
        <w:t xml:space="preserve">„Concetti chiave“ della riforma del diritto amministrativo nelle repubblica federale tedesca. </w:t>
      </w:r>
      <w:r w:rsidRPr="00A771DC">
        <w:rPr>
          <w:sz w:val="22"/>
          <w:szCs w:val="22"/>
        </w:rPr>
        <w:t xml:space="preserve">Una ricognizione critica, in: Diritto Pubblico </w:t>
      </w:r>
      <w:r w:rsidR="002F7529" w:rsidRPr="00A771DC">
        <w:rPr>
          <w:sz w:val="22"/>
          <w:szCs w:val="22"/>
        </w:rPr>
        <w:t>3</w:t>
      </w:r>
      <w:r w:rsidRPr="00A771DC">
        <w:rPr>
          <w:sz w:val="22"/>
          <w:szCs w:val="22"/>
        </w:rPr>
        <w:t xml:space="preserve"> (2000)</w:t>
      </w:r>
      <w:r w:rsidR="002F7529" w:rsidRPr="00A771DC">
        <w:rPr>
          <w:sz w:val="22"/>
          <w:szCs w:val="22"/>
        </w:rPr>
        <w:t>, S. 699-750</w:t>
      </w:r>
      <w:r w:rsidRPr="00A771DC">
        <w:rPr>
          <w:sz w:val="22"/>
          <w:szCs w:val="22"/>
        </w:rPr>
        <w:t xml:space="preserve"> = „Schlüsselbegriffe“ der Verwaltungsrechtsreform – eine kritische Bestandsaufnahme, in: VerwArch. Bd. 92 (2001), S. 184-215.</w:t>
      </w:r>
    </w:p>
    <w:p w14:paraId="27DFF4DB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5C146DB" w14:textId="6E0D10C6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„Regulierte Selbstregulierung“ </w:t>
      </w:r>
      <w:r w:rsidR="00370C92">
        <w:rPr>
          <w:sz w:val="22"/>
          <w:szCs w:val="22"/>
        </w:rPr>
        <w:t>–</w:t>
      </w:r>
      <w:r w:rsidRPr="00A771DC">
        <w:rPr>
          <w:sz w:val="22"/>
          <w:szCs w:val="22"/>
        </w:rPr>
        <w:t xml:space="preserve"> Zur Karriere eines Schlüsselbegriffs, in: Regulierte Selbstregulierung als Steuerungskonzept des Gewährleistungsstaates, Ergebnisse des Symposiums aus Anlaß des 60. Geburtstages von Wolfgang Hoffmann-Riem, </w:t>
      </w:r>
      <w:r w:rsidR="00DF1BCD">
        <w:rPr>
          <w:sz w:val="22"/>
          <w:szCs w:val="22"/>
        </w:rPr>
        <w:t xml:space="preserve">Die Verwaltung Bd. 34 (2001), Beiheft </w:t>
      </w:r>
      <w:r w:rsidR="001C6A36">
        <w:rPr>
          <w:sz w:val="22"/>
          <w:szCs w:val="22"/>
        </w:rPr>
        <w:t>4</w:t>
      </w:r>
      <w:r w:rsidR="00DF1BCD">
        <w:rPr>
          <w:sz w:val="22"/>
          <w:szCs w:val="22"/>
        </w:rPr>
        <w:t>,</w:t>
      </w:r>
      <w:r w:rsidRPr="00A771DC">
        <w:rPr>
          <w:sz w:val="22"/>
          <w:szCs w:val="22"/>
        </w:rPr>
        <w:t xml:space="preserve"> S. 197 – 200.</w:t>
      </w:r>
    </w:p>
    <w:p w14:paraId="72C81C78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01F90A6E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Verfassungsgerichtliche Überprüfung der Vorlagepflicht an den EuGH – Anmerkung zu BVerfG, 9.1.2001 – 1 BvR 1036/99, </w:t>
      </w:r>
      <w:r w:rsidR="00DF1BCD">
        <w:rPr>
          <w:sz w:val="22"/>
          <w:szCs w:val="22"/>
        </w:rPr>
        <w:t xml:space="preserve">in: </w:t>
      </w:r>
      <w:r w:rsidR="00581019">
        <w:rPr>
          <w:sz w:val="22"/>
          <w:szCs w:val="22"/>
        </w:rPr>
        <w:t>JZ 2001, S. 924-</w:t>
      </w:r>
      <w:r w:rsidRPr="00A771DC">
        <w:rPr>
          <w:sz w:val="22"/>
          <w:szCs w:val="22"/>
        </w:rPr>
        <w:t>927.</w:t>
      </w:r>
    </w:p>
    <w:p w14:paraId="4A11C18D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263B22C8" w14:textId="5A80FA6F" w:rsidR="004C2A3F" w:rsidRPr="003125DA" w:rsidRDefault="004C2A3F" w:rsidP="001C6A36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3125DA">
        <w:rPr>
          <w:sz w:val="22"/>
          <w:szCs w:val="22"/>
        </w:rPr>
        <w:t xml:space="preserve">Abwägung und Kompensation im Umweltrecht – Ein Plädoyer für mehr Modellkonsistenz, Statement, </w:t>
      </w:r>
      <w:r w:rsidR="001D7B85" w:rsidRPr="003125DA">
        <w:rPr>
          <w:sz w:val="22"/>
          <w:szCs w:val="22"/>
        </w:rPr>
        <w:t>in: Rainer Wahl (Hrsg.), Umweltverfassungsrecht im deutsch-japanischen Vergleich</w:t>
      </w:r>
      <w:r w:rsidRPr="003125DA">
        <w:rPr>
          <w:sz w:val="22"/>
          <w:szCs w:val="22"/>
        </w:rPr>
        <w:t>,</w:t>
      </w:r>
      <w:r w:rsidR="001D7B85" w:rsidRPr="003125DA">
        <w:rPr>
          <w:sz w:val="22"/>
          <w:szCs w:val="22"/>
        </w:rPr>
        <w:t xml:space="preserve"> </w:t>
      </w:r>
      <w:r w:rsidR="001C6A36" w:rsidRPr="001C6A36">
        <w:rPr>
          <w:sz w:val="22"/>
          <w:szCs w:val="22"/>
        </w:rPr>
        <w:t>http://www.freidok.uni-freiburg.de/volltexte/5028/pdf/Umweltverfassungsrecht_im _ deutsch_japanischen_Vergleich.pdf</w:t>
      </w:r>
      <w:r w:rsidR="001C6A36">
        <w:rPr>
          <w:sz w:val="22"/>
          <w:szCs w:val="22"/>
        </w:rPr>
        <w:t>, 2002</w:t>
      </w:r>
    </w:p>
    <w:p w14:paraId="45B213FE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5BB5E019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Glücksspiel ohne Grenzen. Zur rechtlichen Zulässigkeit der grenzüberschreitenden Vermittlung von Pferderennwetten,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 xml:space="preserve">GewArch 2001, S. 177-184. </w:t>
      </w:r>
    </w:p>
    <w:p w14:paraId="6B62FD57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4F9DDFC6" w14:textId="77777777" w:rsidR="004C2A3F" w:rsidRPr="00A771DC" w:rsidRDefault="004C2A3F" w:rsidP="00A771DC">
      <w:pPr>
        <w:numPr>
          <w:ilvl w:val="0"/>
          <w:numId w:val="16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„Ökonomisierung“ des Verwaltungsverfahrens,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>Die Verwaltung Bd. 34 (2001), S. 347-369.</w:t>
      </w:r>
    </w:p>
    <w:p w14:paraId="769EA1CB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3EB1D40B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Der „Dienstleistungsstaat“</w:t>
      </w:r>
      <w:r w:rsidR="00923E43" w:rsidRPr="00A771DC">
        <w:rPr>
          <w:sz w:val="22"/>
          <w:szCs w:val="22"/>
        </w:rPr>
        <w:t xml:space="preserve">. </w:t>
      </w:r>
      <w:r w:rsidRPr="00A771DC">
        <w:rPr>
          <w:sz w:val="22"/>
          <w:szCs w:val="22"/>
        </w:rPr>
        <w:t xml:space="preserve">Über </w:t>
      </w:r>
      <w:r w:rsidR="00923E43" w:rsidRPr="00A771DC">
        <w:rPr>
          <w:sz w:val="22"/>
          <w:szCs w:val="22"/>
        </w:rPr>
        <w:t xml:space="preserve">Nutzen und </w:t>
      </w:r>
      <w:r w:rsidRPr="00A771DC">
        <w:rPr>
          <w:sz w:val="22"/>
          <w:szCs w:val="22"/>
        </w:rPr>
        <w:t xml:space="preserve">Gefahren von Staatsbildern,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 xml:space="preserve">DER STAAT Bd. 40 (2001), </w:t>
      </w:r>
      <w:r w:rsidR="004D776E" w:rsidRPr="00A771DC">
        <w:rPr>
          <w:sz w:val="22"/>
          <w:szCs w:val="22"/>
        </w:rPr>
        <w:t xml:space="preserve">S. </w:t>
      </w:r>
      <w:r w:rsidRPr="00A771DC">
        <w:rPr>
          <w:sz w:val="22"/>
          <w:szCs w:val="22"/>
        </w:rPr>
        <w:t>495-523.</w:t>
      </w:r>
    </w:p>
    <w:p w14:paraId="47208808" w14:textId="77777777" w:rsidR="004C2A3F" w:rsidRPr="00A771DC" w:rsidRDefault="004C2A3F" w:rsidP="00A771DC">
      <w:pPr>
        <w:spacing w:line="320" w:lineRule="exact"/>
        <w:ind w:left="567" w:hanging="720"/>
        <w:jc w:val="both"/>
        <w:rPr>
          <w:sz w:val="22"/>
          <w:szCs w:val="22"/>
        </w:rPr>
      </w:pPr>
    </w:p>
    <w:p w14:paraId="460F732C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Die demokrat</w:t>
      </w:r>
      <w:r w:rsidR="009E18E6">
        <w:rPr>
          <w:sz w:val="22"/>
          <w:szCs w:val="22"/>
        </w:rPr>
        <w:t>ische Legitimation des Richters</w:t>
      </w:r>
      <w:r w:rsidRPr="00A771DC">
        <w:rPr>
          <w:sz w:val="22"/>
          <w:szCs w:val="22"/>
        </w:rPr>
        <w:t xml:space="preserve">,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>JZ 2002, S. 673-724 (zusammen mit Gernot Sydow)</w:t>
      </w:r>
      <w:r w:rsidR="00E14CCD" w:rsidRPr="00A771DC">
        <w:rPr>
          <w:sz w:val="22"/>
          <w:szCs w:val="22"/>
        </w:rPr>
        <w:t>.</w:t>
      </w:r>
    </w:p>
    <w:p w14:paraId="59C237C6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0AE28A23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Rechtsfragen der Einführung von Emissionszertifikaten, in: Hendler u.a. (Hrsg.), Energierecht zwischen Umweltschutz und Wettbewerb, 17. Trier</w:t>
      </w:r>
      <w:r w:rsidR="002F7529" w:rsidRPr="00A771DC">
        <w:rPr>
          <w:sz w:val="22"/>
          <w:szCs w:val="22"/>
        </w:rPr>
        <w:t>er</w:t>
      </w:r>
      <w:r w:rsidRPr="00A771DC">
        <w:rPr>
          <w:sz w:val="22"/>
          <w:szCs w:val="22"/>
        </w:rPr>
        <w:t xml:space="preserve"> Koll</w:t>
      </w:r>
      <w:r w:rsidR="002F7529" w:rsidRPr="00A771DC">
        <w:rPr>
          <w:sz w:val="22"/>
          <w:szCs w:val="22"/>
        </w:rPr>
        <w:t>oquium</w:t>
      </w:r>
      <w:r w:rsidRPr="00A771DC">
        <w:rPr>
          <w:sz w:val="22"/>
          <w:szCs w:val="22"/>
        </w:rPr>
        <w:t xml:space="preserve"> zum Umwelt- und Technikrecht vom 9. bis11.09.2001,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>UTR Bd. 61</w:t>
      </w:r>
      <w:r w:rsidR="002F7529" w:rsidRPr="00A771DC">
        <w:rPr>
          <w:sz w:val="22"/>
          <w:szCs w:val="22"/>
        </w:rPr>
        <w:t xml:space="preserve"> (2002)</w:t>
      </w:r>
      <w:r w:rsidRPr="00A771DC">
        <w:rPr>
          <w:sz w:val="22"/>
          <w:szCs w:val="22"/>
        </w:rPr>
        <w:t>, S. 159</w:t>
      </w:r>
      <w:r w:rsidR="00E14CCD" w:rsidRPr="00A771DC">
        <w:rPr>
          <w:sz w:val="22"/>
          <w:szCs w:val="22"/>
        </w:rPr>
        <w:t>-</w:t>
      </w:r>
      <w:r w:rsidRPr="00A771DC">
        <w:rPr>
          <w:sz w:val="22"/>
          <w:szCs w:val="22"/>
        </w:rPr>
        <w:t>198.</w:t>
      </w:r>
    </w:p>
    <w:p w14:paraId="2FDA2713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5F19CCE2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Das ‚Produkt‘ der Justiz, in: Helmuth Schulze-Fielitz/Carsten Schütz (Hrsg.),</w:t>
      </w:r>
      <w:r w:rsidR="00DF1BCD">
        <w:rPr>
          <w:sz w:val="22"/>
          <w:szCs w:val="22"/>
        </w:rPr>
        <w:t xml:space="preserve"> </w:t>
      </w:r>
      <w:r w:rsidRPr="00A771DC">
        <w:rPr>
          <w:sz w:val="22"/>
          <w:szCs w:val="22"/>
        </w:rPr>
        <w:t>Justiz und Justizverwaltung zwischen Ökonomisierungsdruck und Unabhängigkeit,</w:t>
      </w:r>
      <w:r w:rsidR="00DF1BCD">
        <w:rPr>
          <w:sz w:val="22"/>
          <w:szCs w:val="22"/>
        </w:rPr>
        <w:t xml:space="preserve"> </w:t>
      </w:r>
      <w:r w:rsidR="009E18E6">
        <w:rPr>
          <w:sz w:val="22"/>
          <w:szCs w:val="22"/>
        </w:rPr>
        <w:t xml:space="preserve">in: </w:t>
      </w:r>
      <w:r w:rsidRPr="00A771DC">
        <w:rPr>
          <w:sz w:val="22"/>
          <w:szCs w:val="22"/>
        </w:rPr>
        <w:t>Die Verwaltung</w:t>
      </w:r>
      <w:r w:rsidR="00DF1BCD">
        <w:rPr>
          <w:sz w:val="22"/>
          <w:szCs w:val="22"/>
        </w:rPr>
        <w:t xml:space="preserve"> Bd. 35 (2002), </w:t>
      </w:r>
      <w:r w:rsidR="00DF1BCD" w:rsidRPr="00A771DC">
        <w:rPr>
          <w:sz w:val="22"/>
          <w:szCs w:val="22"/>
        </w:rPr>
        <w:t>Beiheft 5</w:t>
      </w:r>
      <w:r w:rsidR="00DF1BCD">
        <w:rPr>
          <w:sz w:val="22"/>
          <w:szCs w:val="22"/>
        </w:rPr>
        <w:t xml:space="preserve">, </w:t>
      </w:r>
      <w:r w:rsidRPr="00A771DC">
        <w:rPr>
          <w:sz w:val="22"/>
          <w:szCs w:val="22"/>
        </w:rPr>
        <w:t>S. 35</w:t>
      </w:r>
      <w:r w:rsidR="00E14CCD" w:rsidRPr="00A771DC">
        <w:rPr>
          <w:sz w:val="22"/>
          <w:szCs w:val="22"/>
        </w:rPr>
        <w:t>-</w:t>
      </w:r>
      <w:r w:rsidRPr="00A771DC">
        <w:rPr>
          <w:sz w:val="22"/>
          <w:szCs w:val="22"/>
        </w:rPr>
        <w:t>52.</w:t>
      </w:r>
    </w:p>
    <w:p w14:paraId="7BD5D0CA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54B7DBA7" w14:textId="77777777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Methode und Pragmatik im Öffentlichen Recht, in: Bauer u.a. (Hrsg.), Umwelt, Wirtschaft </w:t>
      </w:r>
      <w:r w:rsidRPr="00CC239B">
        <w:rPr>
          <w:sz w:val="22"/>
          <w:szCs w:val="22"/>
        </w:rPr>
        <w:t>und Recht, Mohr Siebeck,</w:t>
      </w:r>
      <w:r w:rsidRPr="00A771DC">
        <w:rPr>
          <w:sz w:val="22"/>
          <w:szCs w:val="22"/>
        </w:rPr>
        <w:t xml:space="preserve"> Tübingen 2002, S. 171</w:t>
      </w:r>
      <w:r w:rsidR="00E14CCD" w:rsidRPr="00A771DC">
        <w:rPr>
          <w:sz w:val="22"/>
          <w:szCs w:val="22"/>
        </w:rPr>
        <w:t>-</w:t>
      </w:r>
      <w:r w:rsidRPr="00A771DC">
        <w:rPr>
          <w:sz w:val="22"/>
          <w:szCs w:val="22"/>
        </w:rPr>
        <w:t>195.</w:t>
      </w:r>
    </w:p>
    <w:p w14:paraId="2C7282B1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400C7ECB" w14:textId="2114646B" w:rsidR="004C2A3F" w:rsidRPr="00A771DC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>Die Verwaltung in der Informationsgesellschaft – Informationelles Verwaltungsorganisationsrecht in: Dieter Leipold (Hrsg.), Rechtsfragen des Internet und der Informationsgesellschaft, Symposion der rechtswissenschaftlichen Fakultäten der Albert-Ludwigs-Universität Freiburg und der Städtischen Universität Osaka, C.F. Müller Verlag, Heidelberg, 2002, S. 97-115</w:t>
      </w:r>
      <w:r w:rsidR="002F7529" w:rsidRPr="00A771DC">
        <w:rPr>
          <w:sz w:val="22"/>
          <w:szCs w:val="22"/>
        </w:rPr>
        <w:t>; japanische Übersetzung, in: Hiroyuki Matsumoto/Satoshi Nishitani/Kenichi Moriya (Hrsg.), Internet und Informationsgesellschaft und Recht, Shinzansha Verlagsbuchhandlung, Tokyo 2002, S. 137-166.</w:t>
      </w:r>
    </w:p>
    <w:p w14:paraId="3A68F7F4" w14:textId="77777777" w:rsidR="004C2A3F" w:rsidRPr="00A771DC" w:rsidRDefault="004C2A3F" w:rsidP="00A771DC">
      <w:pPr>
        <w:spacing w:line="320" w:lineRule="exact"/>
        <w:jc w:val="both"/>
        <w:rPr>
          <w:sz w:val="22"/>
          <w:szCs w:val="22"/>
        </w:rPr>
      </w:pPr>
    </w:p>
    <w:p w14:paraId="67FD2D0C" w14:textId="77777777" w:rsidR="004C2A3F" w:rsidRDefault="004C2A3F" w:rsidP="00A771D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A771DC">
        <w:rPr>
          <w:sz w:val="22"/>
          <w:szCs w:val="22"/>
        </w:rPr>
        <w:t xml:space="preserve">Strukturen und Bauformen neuer Verwaltungsverfahren, in: Wolfgang Hoffmann-Riem/Eberhard Schmidt-Aßmann (Hrsg.), Verwaltungsverfahren und Verwaltungsverfahrensgesetz, Nomos, </w:t>
      </w:r>
      <w:r w:rsidR="009E18E6">
        <w:rPr>
          <w:sz w:val="22"/>
          <w:szCs w:val="22"/>
        </w:rPr>
        <w:t xml:space="preserve">Baden-Baden </w:t>
      </w:r>
      <w:r w:rsidRPr="00A771DC">
        <w:rPr>
          <w:sz w:val="22"/>
          <w:szCs w:val="22"/>
        </w:rPr>
        <w:t>2002, S. 277</w:t>
      </w:r>
      <w:r w:rsidR="00E14CCD" w:rsidRPr="00A771DC">
        <w:rPr>
          <w:sz w:val="22"/>
          <w:szCs w:val="22"/>
        </w:rPr>
        <w:t>-</w:t>
      </w:r>
      <w:r w:rsidRPr="00A771DC">
        <w:rPr>
          <w:sz w:val="22"/>
          <w:szCs w:val="22"/>
        </w:rPr>
        <w:t>347.</w:t>
      </w:r>
    </w:p>
    <w:p w14:paraId="76B6044A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FCF9068" w14:textId="77777777" w:rsidR="004C2A3F" w:rsidRDefault="0096407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>Beteiligung Privater an der Wahrnehmung öffentlicher Aufgaben und staatliche Verantwortung, VVDStRL Bd. 62 (2003), S. 266-335.</w:t>
      </w:r>
    </w:p>
    <w:p w14:paraId="18E3B3A2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26F1D1F" w14:textId="77777777" w:rsidR="00B614C2" w:rsidRDefault="00B614C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 xml:space="preserve">Die deutsche Staatsrechtswissenschaft im Zusammenhang der internationalisierten Wissenschaften. Beobachtungen, Vermutungen, Thesen, in: Die Verwaltung </w:t>
      </w:r>
      <w:r w:rsidR="009E18E6" w:rsidRPr="006A5BBD">
        <w:rPr>
          <w:sz w:val="22"/>
          <w:szCs w:val="22"/>
        </w:rPr>
        <w:t>Bd. 36</w:t>
      </w:r>
      <w:r w:rsidRPr="006A5BBD">
        <w:rPr>
          <w:sz w:val="22"/>
          <w:szCs w:val="22"/>
        </w:rPr>
        <w:t xml:space="preserve"> (2003)</w:t>
      </w:r>
      <w:r w:rsidR="00C33061" w:rsidRPr="006A5BBD">
        <w:rPr>
          <w:sz w:val="22"/>
          <w:szCs w:val="22"/>
        </w:rPr>
        <w:t>, 321-332</w:t>
      </w:r>
      <w:r w:rsidRPr="006A5BBD">
        <w:rPr>
          <w:sz w:val="22"/>
          <w:szCs w:val="22"/>
        </w:rPr>
        <w:t xml:space="preserve"> (zusammen mit Christoph Möllers).</w:t>
      </w:r>
    </w:p>
    <w:p w14:paraId="2BBD3536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4AF1157" w14:textId="77777777" w:rsidR="00D114C5" w:rsidRDefault="00D114C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>Bruch mit einem Dogma: Die Verfassung garantiert Rechtsschutz gegen den Richter, in: NJW 2003, 2193-22</w:t>
      </w:r>
      <w:r w:rsidR="000D2A1B" w:rsidRPr="006A5BBD">
        <w:rPr>
          <w:sz w:val="22"/>
          <w:szCs w:val="22"/>
        </w:rPr>
        <w:t>00.</w:t>
      </w:r>
    </w:p>
    <w:p w14:paraId="1B38FD5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45BB810" w14:textId="77777777" w:rsidR="005412F4" w:rsidRDefault="005412F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>Sistema ispolnitel’noj vlasti v Federativnoj respublike Germanii (Das System der exekutiven Gewalt in der Bundesrepublik Deutschland), in: Konstitucionnoe pravo: Vostočno-evropejskoe obozrenie 2004 Nr. 1, S. 81-91.</w:t>
      </w:r>
    </w:p>
    <w:p w14:paraId="7DB12642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015BA46" w14:textId="77777777" w:rsidR="00D114C5" w:rsidRDefault="00D114C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>Erozija parlamentskoj sistemy v Federativnoj Respublike Germanii (Die Erosion des parlamentarischen Systems in der Bundesrepublik Deutschland), in: Konstitucionnoe pravo: Vostočno-evropejskoe obozrenie 2004 Nr. 2, S. 59-64; auch veröffentlicht in: Institut prava i publičnoj politiki (Institut für Recht und öffentliche Politik [Hrsg.]), Konstitucionnyj sud kak garant razdelenija vlastej (Das Verfassungsgericht als Garant der Gewaltenteilung), Moskau, 2004, S. 215-226.</w:t>
      </w:r>
    </w:p>
    <w:p w14:paraId="2C97D27E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772F50D" w14:textId="77777777" w:rsidR="00AF59E2" w:rsidRDefault="00AF59E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>Die Renaissance der “Allgemeinen Staatslehre” im Zeitalter der Europäisierung und Internationalisierung, in: JuS 2004, S. 2-7.</w:t>
      </w:r>
    </w:p>
    <w:p w14:paraId="702FE649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8A2744E" w14:textId="77777777" w:rsidR="0070287B" w:rsidRDefault="0070287B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 xml:space="preserve">Gibt es und wozu nutzt eine Lehre vom Verfassungswandel?, </w:t>
      </w:r>
      <w:r w:rsidR="004D776E" w:rsidRPr="006A5BBD">
        <w:rPr>
          <w:sz w:val="22"/>
          <w:szCs w:val="22"/>
        </w:rPr>
        <w:t xml:space="preserve">in: DER STAAT </w:t>
      </w:r>
      <w:r w:rsidR="009E18E6" w:rsidRPr="006A5BBD">
        <w:rPr>
          <w:sz w:val="22"/>
          <w:szCs w:val="22"/>
        </w:rPr>
        <w:t>Bd.</w:t>
      </w:r>
      <w:r w:rsidR="004D776E" w:rsidRPr="006A5BBD">
        <w:rPr>
          <w:sz w:val="22"/>
          <w:szCs w:val="22"/>
        </w:rPr>
        <w:t xml:space="preserve"> 43 (2004), S. 450-459</w:t>
      </w:r>
      <w:r w:rsidR="00250016" w:rsidRPr="006A5BBD">
        <w:rPr>
          <w:sz w:val="22"/>
          <w:szCs w:val="22"/>
        </w:rPr>
        <w:t xml:space="preserve"> (= Gibt es und wozu nutzt eine Lehre vom Verfassungswandel?, in: Rainer Wahl (Hrsg.), Verfassungsänderung, Verfassungswandel, Verfassungsinterpretation, Duncker &amp; Humblot, Berlin 2008, S. 201-210).</w:t>
      </w:r>
    </w:p>
    <w:p w14:paraId="0B54C2D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DC42266" w14:textId="77777777" w:rsidR="004D776E" w:rsidRDefault="004D776E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>Lexikonbeitrag zu „Ronald Dworkin“, in: Gisela Riescher (Hrsg.), Politische Theorie der Gegenwart in Einzeldarstellungen von Adorno bis Young, Alfred Kröner, Stutt</w:t>
      </w:r>
      <w:r w:rsidR="009E18E6" w:rsidRPr="006A5BBD">
        <w:rPr>
          <w:sz w:val="22"/>
          <w:szCs w:val="22"/>
        </w:rPr>
        <w:t>gart 2004.</w:t>
      </w:r>
    </w:p>
    <w:p w14:paraId="786890E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E8BAC55" w14:textId="77777777" w:rsidR="004D776E" w:rsidRDefault="004D776E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jc w:val="both"/>
        <w:rPr>
          <w:sz w:val="22"/>
          <w:szCs w:val="22"/>
        </w:rPr>
      </w:pPr>
      <w:r w:rsidRPr="006A5BBD">
        <w:rPr>
          <w:sz w:val="22"/>
          <w:szCs w:val="22"/>
        </w:rPr>
        <w:t>Lexikonbeitrag zu „Herbert Lionel Adolphus Hart“ in: Gisela Riescher (Hrsg.), Politische Theorie der Gegenwart in Einzeldarstellungen von Adorno bis Young, Alfred Kröner</w:t>
      </w:r>
      <w:r w:rsidR="00374129" w:rsidRPr="006A5BBD">
        <w:rPr>
          <w:sz w:val="22"/>
          <w:szCs w:val="22"/>
        </w:rPr>
        <w:t>, Stuttgart 2004.</w:t>
      </w:r>
    </w:p>
    <w:p w14:paraId="2F5F1E8F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6F241A14" w14:textId="77777777" w:rsidR="006A5BBD" w:rsidRDefault="005645BB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Regulierte Selbstregulierung und Organisationsentwicklung, in: HRK (Hrsg.), Evaluation – ein Bestandteil des Qualitätsmanagements an Hochschulen, Beiträge zur Hochschulpoli</w:t>
      </w:r>
      <w:r w:rsidR="006A5BBD">
        <w:rPr>
          <w:sz w:val="22"/>
          <w:szCs w:val="22"/>
        </w:rPr>
        <w:t xml:space="preserve">tik </w:t>
      </w:r>
      <w:r w:rsidRPr="006A5BBD">
        <w:rPr>
          <w:sz w:val="22"/>
          <w:szCs w:val="22"/>
        </w:rPr>
        <w:t>9/2004, S. 7-31.</w:t>
      </w:r>
    </w:p>
    <w:p w14:paraId="57097211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069D94F" w14:textId="77777777" w:rsidR="002364ED" w:rsidRDefault="002364E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Grenzüberschreitende Glücksspielangebote und europäischer Binnenmarkt, in: </w:t>
      </w:r>
      <w:r w:rsidR="00121611" w:rsidRPr="006A5BBD">
        <w:rPr>
          <w:sz w:val="22"/>
          <w:szCs w:val="22"/>
        </w:rPr>
        <w:t xml:space="preserve">Zentrum für Informationsrecht an der Juristischen Fakultät, Heinrich-Heine Universität Düsseldorf (Hrsg.), </w:t>
      </w:r>
      <w:r w:rsidRPr="006A5BBD">
        <w:rPr>
          <w:sz w:val="22"/>
          <w:szCs w:val="22"/>
        </w:rPr>
        <w:t xml:space="preserve">"e-Gambling" als Herausforderung an das Recht, 2. Düsseldorfer Informationsrechtstag, </w:t>
      </w:r>
      <w:r w:rsidR="00121611" w:rsidRPr="006A5BBD">
        <w:rPr>
          <w:sz w:val="22"/>
          <w:szCs w:val="22"/>
        </w:rPr>
        <w:t xml:space="preserve">2005, </w:t>
      </w:r>
      <w:r w:rsidR="006A5BBD">
        <w:rPr>
          <w:sz w:val="22"/>
          <w:szCs w:val="22"/>
        </w:rPr>
        <w:t>S. 95-107</w:t>
      </w:r>
    </w:p>
    <w:p w14:paraId="17C26B1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8931E76" w14:textId="265D2C86" w:rsidR="00713AF8" w:rsidRDefault="00713AF8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Rec</w:t>
      </w:r>
      <w:r w:rsidR="008F3EDE" w:rsidRPr="006A5BBD">
        <w:rPr>
          <w:sz w:val="22"/>
          <w:szCs w:val="22"/>
        </w:rPr>
        <w:t>htliche Rahmenbedingungen des Gl</w:t>
      </w:r>
      <w:r w:rsidRPr="006A5BBD">
        <w:rPr>
          <w:sz w:val="22"/>
          <w:szCs w:val="22"/>
        </w:rPr>
        <w:t>ückspiels, in: Tilman Becker/Christine Baumann (Hrsg.), Gesellschafts- und Glücksspiel: Staatliche Regulierung und Such</w:t>
      </w:r>
      <w:r w:rsidR="001C6A36">
        <w:rPr>
          <w:sz w:val="22"/>
          <w:szCs w:val="22"/>
        </w:rPr>
        <w:t>t</w:t>
      </w:r>
      <w:r w:rsidRPr="006A5BBD">
        <w:rPr>
          <w:sz w:val="22"/>
          <w:szCs w:val="22"/>
        </w:rPr>
        <w:t>prävention, Peter Lang, Frankfurt u.a. 2006, S. 51-68</w:t>
      </w:r>
      <w:r w:rsidR="00581019" w:rsidRPr="006A5BBD">
        <w:rPr>
          <w:sz w:val="22"/>
          <w:szCs w:val="22"/>
        </w:rPr>
        <w:t>.</w:t>
      </w:r>
    </w:p>
    <w:p w14:paraId="5F0444D2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1D10FB8" w14:textId="77777777" w:rsidR="006A5BBD" w:rsidRDefault="00713AF8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Die verfassungsgerichtliche Kontrolle von G</w:t>
      </w:r>
      <w:r w:rsidR="00C4289C" w:rsidRPr="006A5BBD">
        <w:rPr>
          <w:sz w:val="22"/>
          <w:szCs w:val="22"/>
        </w:rPr>
        <w:t>e</w:t>
      </w:r>
      <w:r w:rsidRPr="006A5BBD">
        <w:rPr>
          <w:sz w:val="22"/>
          <w:szCs w:val="22"/>
        </w:rPr>
        <w:t>setzen durch das Bundesverfassungsgericht, in: Thomas Würtenberger (Hrsg.), Rechtsreform in Deutschland und Korea im Verg</w:t>
      </w:r>
      <w:r w:rsidR="009E18E6" w:rsidRPr="006A5BBD">
        <w:rPr>
          <w:sz w:val="22"/>
          <w:szCs w:val="22"/>
        </w:rPr>
        <w:t xml:space="preserve">leich, </w:t>
      </w:r>
      <w:r w:rsidR="009E2BD6" w:rsidRPr="006A5BBD">
        <w:rPr>
          <w:sz w:val="22"/>
          <w:szCs w:val="22"/>
        </w:rPr>
        <w:t>D</w:t>
      </w:r>
      <w:r w:rsidR="009E18E6" w:rsidRPr="006A5BBD">
        <w:rPr>
          <w:sz w:val="22"/>
          <w:szCs w:val="22"/>
        </w:rPr>
        <w:t>u</w:t>
      </w:r>
      <w:r w:rsidR="009E2BD6" w:rsidRPr="006A5BBD">
        <w:rPr>
          <w:sz w:val="22"/>
          <w:szCs w:val="22"/>
        </w:rPr>
        <w:t>n</w:t>
      </w:r>
      <w:r w:rsidR="009E18E6" w:rsidRPr="006A5BBD">
        <w:rPr>
          <w:sz w:val="22"/>
          <w:szCs w:val="22"/>
        </w:rPr>
        <w:t>cker &amp; Humblot, Berlin</w:t>
      </w:r>
      <w:r w:rsidRPr="006A5BBD">
        <w:rPr>
          <w:sz w:val="22"/>
          <w:szCs w:val="22"/>
        </w:rPr>
        <w:t xml:space="preserve"> 2006, S. 215-227.</w:t>
      </w:r>
    </w:p>
    <w:p w14:paraId="0C54E11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F4CABCA" w14:textId="77777777" w:rsidR="000B2BCD" w:rsidRDefault="000B2BC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Die Veranstaltung und Vermittlung von Sportwetten auf der Grundlage einer DDR-Genehmigung, </w:t>
      </w:r>
      <w:r w:rsidR="009E18E6" w:rsidRPr="006A5BBD">
        <w:rPr>
          <w:sz w:val="22"/>
          <w:szCs w:val="22"/>
        </w:rPr>
        <w:t xml:space="preserve">in: </w:t>
      </w:r>
      <w:r w:rsidRPr="006A5BBD">
        <w:rPr>
          <w:sz w:val="22"/>
          <w:szCs w:val="22"/>
        </w:rPr>
        <w:t>GewArch 2006, S. 396-400 (zusammen mit Maya Baußmann)</w:t>
      </w:r>
      <w:r w:rsidR="00581019" w:rsidRPr="006A5BBD">
        <w:rPr>
          <w:sz w:val="22"/>
          <w:szCs w:val="22"/>
        </w:rPr>
        <w:t>.</w:t>
      </w:r>
    </w:p>
    <w:p w14:paraId="2B673C3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27D45DF" w14:textId="1F391990" w:rsidR="000B2BCD" w:rsidRPr="003358F8" w:rsidRDefault="000B2BCD" w:rsidP="009562FE">
      <w:pPr>
        <w:numPr>
          <w:ilvl w:val="0"/>
          <w:numId w:val="2"/>
        </w:numPr>
        <w:tabs>
          <w:tab w:val="clear" w:pos="720"/>
        </w:tabs>
        <w:suppressAutoHyphens/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Ist das Öffentliche Wirtschaftsrecht moralisch?, in: Hartmut Bauer/Detlef </w:t>
      </w:r>
      <w:r w:rsidRPr="003358F8">
        <w:rPr>
          <w:sz w:val="22"/>
          <w:szCs w:val="22"/>
        </w:rPr>
        <w:t>Czybul</w:t>
      </w:r>
      <w:r w:rsidR="001C6A36">
        <w:rPr>
          <w:sz w:val="22"/>
          <w:szCs w:val="22"/>
        </w:rPr>
        <w:t>k</w:t>
      </w:r>
      <w:r w:rsidRPr="003358F8">
        <w:rPr>
          <w:sz w:val="22"/>
          <w:szCs w:val="22"/>
        </w:rPr>
        <w:t>a/</w:t>
      </w:r>
      <w:r w:rsidR="001C6A36">
        <w:rPr>
          <w:sz w:val="22"/>
          <w:szCs w:val="22"/>
        </w:rPr>
        <w:t xml:space="preserve"> </w:t>
      </w:r>
      <w:r w:rsidRPr="003358F8">
        <w:rPr>
          <w:sz w:val="22"/>
          <w:szCs w:val="22"/>
        </w:rPr>
        <w:t xml:space="preserve">Wolfgang Kahl/Andreas Voßkuhle (Hrsg.), Wirtschaft im offenen Verfassungsstaat, Festschrift für Reiner Schmidt zum 70. Geburtstag, </w:t>
      </w:r>
      <w:r w:rsidR="001F071D" w:rsidRPr="003358F8">
        <w:rPr>
          <w:sz w:val="22"/>
        </w:rPr>
        <w:t>C.</w:t>
      </w:r>
      <w:r w:rsidR="001F071D" w:rsidRPr="003358F8">
        <w:rPr>
          <w:sz w:val="8"/>
          <w:szCs w:val="8"/>
        </w:rPr>
        <w:t> </w:t>
      </w:r>
      <w:r w:rsidR="001F071D" w:rsidRPr="003358F8">
        <w:rPr>
          <w:sz w:val="22"/>
        </w:rPr>
        <w:t xml:space="preserve">H. </w:t>
      </w:r>
      <w:r w:rsidRPr="003358F8">
        <w:rPr>
          <w:sz w:val="22"/>
          <w:szCs w:val="22"/>
        </w:rPr>
        <w:t xml:space="preserve">Beck, </w:t>
      </w:r>
      <w:r w:rsidR="00D60DFF" w:rsidRPr="003358F8">
        <w:rPr>
          <w:sz w:val="22"/>
          <w:szCs w:val="22"/>
        </w:rPr>
        <w:t>München</w:t>
      </w:r>
      <w:r w:rsidRPr="003358F8">
        <w:rPr>
          <w:sz w:val="22"/>
          <w:szCs w:val="22"/>
        </w:rPr>
        <w:t xml:space="preserve"> 2006, S. 609-626.</w:t>
      </w:r>
    </w:p>
    <w:p w14:paraId="0AEE519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3BC853C" w14:textId="77777777" w:rsidR="000B2BCD" w:rsidRDefault="000B2BC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Allgemeines Verwaltungs- und Verwaltungsprozessrecht, in: Dietmar Willoweit (Hrsg.), Rechtswissenschaft und Rechtsliteratur im 20. Jahrhundert, </w:t>
      </w:r>
      <w:r w:rsidR="001F071D" w:rsidRPr="006A5BBD">
        <w:rPr>
          <w:sz w:val="22"/>
        </w:rPr>
        <w:t>C.</w:t>
      </w:r>
      <w:r w:rsidR="001F071D" w:rsidRPr="006A5BBD">
        <w:rPr>
          <w:sz w:val="8"/>
          <w:szCs w:val="8"/>
        </w:rPr>
        <w:t> </w:t>
      </w:r>
      <w:r w:rsidR="001F071D" w:rsidRPr="006A5BBD">
        <w:rPr>
          <w:sz w:val="22"/>
        </w:rPr>
        <w:t xml:space="preserve">H. </w:t>
      </w:r>
      <w:r w:rsidR="001F071D" w:rsidRPr="006A5BBD">
        <w:rPr>
          <w:sz w:val="22"/>
          <w:szCs w:val="22"/>
        </w:rPr>
        <w:t>Beck</w:t>
      </w:r>
      <w:r w:rsidRPr="006A5BBD">
        <w:rPr>
          <w:sz w:val="22"/>
          <w:szCs w:val="22"/>
        </w:rPr>
        <w:t>, München 2007, S.</w:t>
      </w:r>
      <w:r w:rsidR="009E18E6" w:rsidRPr="006A5BBD">
        <w:rPr>
          <w:sz w:val="22"/>
          <w:szCs w:val="22"/>
        </w:rPr>
        <w:t> </w:t>
      </w:r>
      <w:r w:rsidRPr="006A5BBD">
        <w:rPr>
          <w:sz w:val="22"/>
          <w:szCs w:val="22"/>
        </w:rPr>
        <w:t>935-968.</w:t>
      </w:r>
    </w:p>
    <w:p w14:paraId="22505346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E975D4C" w14:textId="77777777" w:rsidR="000B2BCD" w:rsidRDefault="000B2BC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Europäisierung des öffentlichen Dienstes, in: Rainer Pitschas/Arnd Uhle (Hrsg.), Wege gelebter Verfassung in Recht und Politik, Festschrift für Rupert Scholz zum 70. Geburtstag, Duncker &amp; Humblot, Berlin 2007, S. </w:t>
      </w:r>
      <w:r w:rsidR="00677820" w:rsidRPr="006A5BBD">
        <w:rPr>
          <w:sz w:val="22"/>
          <w:szCs w:val="22"/>
        </w:rPr>
        <w:t>189-201.</w:t>
      </w:r>
    </w:p>
    <w:p w14:paraId="0FE327A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874A24F" w14:textId="77777777" w:rsidR="00E41576" w:rsidRDefault="00E4157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The reform approach in the German Science of Adminstrativ Law: The “Neue Verwaltungsrechtswissenschaft”, in: Matthias Ruffert (ed.), The Transformation of Administrative Law in Europe, Schriften zur Europäischen Rechtswissenschaft Band 4, Sellier, München 2007, S. 89-141.</w:t>
      </w:r>
    </w:p>
    <w:p w14:paraId="4D838179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90AD174" w14:textId="77777777" w:rsidR="00677820" w:rsidRDefault="00677820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Die politischen Dimensionen der Staatsrechtslehre, in: Helmuth Schulze-Fielitz (Hrsg.), Staatsrechtslehre als Wissenschaft, Die Verwaltung</w:t>
      </w:r>
      <w:r w:rsidR="00DF1BCD" w:rsidRPr="006A5BBD">
        <w:rPr>
          <w:sz w:val="22"/>
          <w:szCs w:val="22"/>
        </w:rPr>
        <w:t xml:space="preserve"> Bd. 40 (2007)</w:t>
      </w:r>
      <w:r w:rsidRPr="006A5BBD">
        <w:rPr>
          <w:sz w:val="22"/>
          <w:szCs w:val="22"/>
        </w:rPr>
        <w:t>, Beiheft 7</w:t>
      </w:r>
      <w:r w:rsidR="00DF1BCD" w:rsidRPr="006A5BBD">
        <w:rPr>
          <w:sz w:val="22"/>
          <w:szCs w:val="22"/>
        </w:rPr>
        <w:t xml:space="preserve">, </w:t>
      </w:r>
      <w:r w:rsidRPr="006A5BBD">
        <w:rPr>
          <w:sz w:val="22"/>
          <w:szCs w:val="22"/>
        </w:rPr>
        <w:t>S. 135-157.</w:t>
      </w:r>
    </w:p>
    <w:p w14:paraId="3F12287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6A6D7C3" w14:textId="77777777" w:rsidR="00E31E75" w:rsidRDefault="00E31E7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Expertise und Verwaltung, in: Hans-Heinrich Trute/Thomas Groß/Hans Christian Röhl/Christoph Möllers (Hrsg.), Allgemeines Verwaltungsrecht – zur Tragfähigkeit eines Konzepts, Mohr Siebeck, Tübin</w:t>
      </w:r>
      <w:r w:rsidR="009E18E6" w:rsidRPr="006A5BBD">
        <w:rPr>
          <w:sz w:val="22"/>
          <w:szCs w:val="22"/>
        </w:rPr>
        <w:t>gen</w:t>
      </w:r>
      <w:r w:rsidRPr="006A5BBD">
        <w:rPr>
          <w:sz w:val="22"/>
          <w:szCs w:val="22"/>
        </w:rPr>
        <w:t xml:space="preserve"> 2008, S. 637-663.</w:t>
      </w:r>
    </w:p>
    <w:p w14:paraId="39B023B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556EF16" w14:textId="77777777" w:rsidR="00250016" w:rsidRDefault="00E31E7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Das Konzept des rationalen Staates, in: </w:t>
      </w:r>
      <w:r w:rsidR="008C4C79" w:rsidRPr="006A5BBD">
        <w:rPr>
          <w:sz w:val="22"/>
          <w:szCs w:val="22"/>
        </w:rPr>
        <w:t xml:space="preserve">Gunnar Folke Schuppert/Andreas Voßkuhle (Hrsg.), </w:t>
      </w:r>
      <w:r w:rsidR="00D86808" w:rsidRPr="006A5BBD">
        <w:rPr>
          <w:sz w:val="22"/>
          <w:szCs w:val="22"/>
        </w:rPr>
        <w:t>Governance von und durch Wissen, Nomos, Baden-Baden 2008</w:t>
      </w:r>
      <w:r w:rsidR="008C4C79" w:rsidRPr="006A5BBD">
        <w:rPr>
          <w:sz w:val="22"/>
          <w:szCs w:val="22"/>
        </w:rPr>
        <w:t>, S. 13-32.</w:t>
      </w:r>
    </w:p>
    <w:p w14:paraId="631EDD08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2126508" w14:textId="77777777" w:rsidR="008B5B6E" w:rsidRDefault="0025001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Verfassungsrechtliche Traditionsrezeption in Zeiten des Wandels: Die institutionelle Garantie des Berufsbeamtentums (Art. 33 Abs. 4, 5 GG) und die Reform des öffentlichen Dienstrechts, in: Rainer Wahl (Hrsg.), Verfassungsänderung, Verfassungswandel, Verfassungsinterpretation, Duncker &amp; Humblot, Berlin 2008, S. 471-493.</w:t>
      </w:r>
    </w:p>
    <w:p w14:paraId="06BAB7AE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4254489" w14:textId="77777777" w:rsidR="009127BD" w:rsidRPr="0064665E" w:rsidRDefault="009E2BD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GB"/>
        </w:rPr>
      </w:pPr>
      <w:r w:rsidRPr="006A5BBD">
        <w:rPr>
          <w:sz w:val="22"/>
          <w:szCs w:val="22"/>
          <w:lang w:val="en-GB"/>
        </w:rPr>
        <w:t>C</w:t>
      </w:r>
      <w:r w:rsidR="009127BD" w:rsidRPr="006A5BBD">
        <w:rPr>
          <w:sz w:val="22"/>
          <w:szCs w:val="22"/>
          <w:lang w:val="en-GB"/>
        </w:rPr>
        <w:t xml:space="preserve">ooperation between the </w:t>
      </w:r>
      <w:r w:rsidRPr="006A5BBD">
        <w:rPr>
          <w:sz w:val="22"/>
          <w:szCs w:val="22"/>
          <w:lang w:val="en-GB"/>
        </w:rPr>
        <w:t>P</w:t>
      </w:r>
      <w:r w:rsidR="009127BD" w:rsidRPr="006A5BBD">
        <w:rPr>
          <w:sz w:val="22"/>
          <w:szCs w:val="22"/>
          <w:lang w:val="en-GB"/>
        </w:rPr>
        <w:t xml:space="preserve">ublic and </w:t>
      </w:r>
      <w:r w:rsidRPr="006A5BBD">
        <w:rPr>
          <w:sz w:val="22"/>
          <w:szCs w:val="22"/>
          <w:lang w:val="en-GB"/>
        </w:rPr>
        <w:t>P</w:t>
      </w:r>
      <w:r w:rsidR="009127BD" w:rsidRPr="006A5BBD">
        <w:rPr>
          <w:sz w:val="22"/>
          <w:szCs w:val="22"/>
          <w:lang w:val="en-GB"/>
        </w:rPr>
        <w:t xml:space="preserve">rivate </w:t>
      </w:r>
      <w:r w:rsidRPr="006A5BBD">
        <w:rPr>
          <w:sz w:val="22"/>
          <w:szCs w:val="22"/>
          <w:lang w:val="en-GB"/>
        </w:rPr>
        <w:t>S</w:t>
      </w:r>
      <w:r w:rsidR="009127BD" w:rsidRPr="006A5BBD">
        <w:rPr>
          <w:sz w:val="22"/>
          <w:szCs w:val="22"/>
          <w:lang w:val="en-GB"/>
        </w:rPr>
        <w:t xml:space="preserve">ector in the </w:t>
      </w:r>
      <w:r w:rsidRPr="006A5BBD">
        <w:rPr>
          <w:sz w:val="22"/>
          <w:szCs w:val="22"/>
          <w:lang w:val="en-GB"/>
        </w:rPr>
        <w:t>E</w:t>
      </w:r>
      <w:r w:rsidR="009127BD" w:rsidRPr="006A5BBD">
        <w:rPr>
          <w:sz w:val="22"/>
          <w:szCs w:val="22"/>
          <w:lang w:val="en-GB"/>
        </w:rPr>
        <w:t xml:space="preserve">nabling </w:t>
      </w:r>
      <w:r w:rsidRPr="006A5BBD">
        <w:rPr>
          <w:sz w:val="22"/>
          <w:szCs w:val="22"/>
          <w:lang w:val="en-GB"/>
        </w:rPr>
        <w:t>S</w:t>
      </w:r>
      <w:r w:rsidR="009127BD" w:rsidRPr="006A5BBD">
        <w:rPr>
          <w:sz w:val="22"/>
          <w:szCs w:val="22"/>
          <w:lang w:val="en-GB"/>
        </w:rPr>
        <w:t>tate, in: Mat</w:t>
      </w:r>
      <w:r w:rsidRPr="006A5BBD">
        <w:rPr>
          <w:sz w:val="22"/>
          <w:szCs w:val="22"/>
          <w:lang w:val="en-GB"/>
        </w:rPr>
        <w:t>thias Ruffert (ed.), The Public-</w:t>
      </w:r>
      <w:r w:rsidR="009127BD" w:rsidRPr="006A5BBD">
        <w:rPr>
          <w:sz w:val="22"/>
          <w:szCs w:val="22"/>
          <w:lang w:val="en-GB"/>
        </w:rPr>
        <w:t xml:space="preserve">Private Law Divide: Potential for Transformation?, </w:t>
      </w:r>
      <w:r w:rsidRPr="006A5BBD">
        <w:rPr>
          <w:sz w:val="22"/>
          <w:szCs w:val="22"/>
          <w:lang w:val="en-GB"/>
        </w:rPr>
        <w:t>British Institute for International and Comparative Law, London 2009</w:t>
      </w:r>
      <w:r w:rsidR="003C0DCB" w:rsidRPr="006A5BBD">
        <w:rPr>
          <w:sz w:val="22"/>
          <w:szCs w:val="22"/>
          <w:lang w:val="en-GB"/>
        </w:rPr>
        <w:t>, S. 205-220.</w:t>
      </w:r>
    </w:p>
    <w:p w14:paraId="64C309B1" w14:textId="77777777" w:rsidR="006A5BBD" w:rsidRPr="0064665E" w:rsidRDefault="006A5BBD" w:rsidP="006A5BBD">
      <w:pPr>
        <w:pStyle w:val="FarbigeListe-Akzent11"/>
        <w:rPr>
          <w:sz w:val="22"/>
          <w:szCs w:val="22"/>
          <w:lang w:val="en-GB"/>
        </w:rPr>
      </w:pPr>
    </w:p>
    <w:p w14:paraId="2957C7E9" w14:textId="77777777" w:rsidR="009127BD" w:rsidRDefault="009127B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Sachverständige Beratung des Staates als Governanceproblem, in: Sebastian Botzem/Jeanette Hofmann/Siegrid Quack/Gunnar Folke Schuppert/Holger Straßheim (Hrsg.), Governance als Prozess, Nomos, Baden-Baden 2009, </w:t>
      </w:r>
      <w:r w:rsidR="00F461EC" w:rsidRPr="006A5BBD">
        <w:rPr>
          <w:sz w:val="22"/>
          <w:szCs w:val="22"/>
        </w:rPr>
        <w:t>S. 547-571</w:t>
      </w:r>
      <w:r w:rsidR="001D7B85" w:rsidRPr="006A5BBD">
        <w:rPr>
          <w:sz w:val="22"/>
          <w:szCs w:val="22"/>
        </w:rPr>
        <w:t>.</w:t>
      </w:r>
    </w:p>
    <w:p w14:paraId="279CEBBF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A0CB768" w14:textId="77777777" w:rsidR="001D7B85" w:rsidRDefault="00DE239A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Chancengleichheit. Voraussetzung und Verpflichtung,</w:t>
      </w:r>
      <w:r w:rsidR="001D7B85" w:rsidRPr="006A5BBD">
        <w:rPr>
          <w:sz w:val="22"/>
          <w:szCs w:val="22"/>
        </w:rPr>
        <w:t xml:space="preserve"> in: Brigitte Zypries (Hrsg.), Verfassung der Zukunft. Ein Lesebuch zum 60. Geburtstag des Grundgesetzes, Vorwärts Buch, Berlin 2009</w:t>
      </w:r>
      <w:r w:rsidR="003A6214" w:rsidRPr="006A5BBD">
        <w:rPr>
          <w:sz w:val="22"/>
          <w:szCs w:val="22"/>
        </w:rPr>
        <w:t>.</w:t>
      </w:r>
    </w:p>
    <w:p w14:paraId="64E4F36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E59F84E" w14:textId="19B9F764" w:rsidR="000256F6" w:rsidRDefault="000256F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Stabilität, Zukunftsoffenheit und Vielfaltssiche</w:t>
      </w:r>
      <w:r w:rsidR="003C0DCB" w:rsidRPr="006A5BBD">
        <w:rPr>
          <w:sz w:val="22"/>
          <w:szCs w:val="22"/>
        </w:rPr>
        <w:t>rung –</w:t>
      </w:r>
      <w:r w:rsidRPr="006A5BBD">
        <w:rPr>
          <w:sz w:val="22"/>
          <w:szCs w:val="22"/>
        </w:rPr>
        <w:t xml:space="preserve"> Die Pflege des verfassungsrechtlichen „Quellcodes“ durch das BVerfG, in: </w:t>
      </w:r>
      <w:r w:rsidR="003C0DCB" w:rsidRPr="006A5BBD">
        <w:rPr>
          <w:sz w:val="22"/>
          <w:szCs w:val="22"/>
        </w:rPr>
        <w:t>JZ</w:t>
      </w:r>
      <w:r w:rsidRPr="006A5BBD">
        <w:rPr>
          <w:sz w:val="22"/>
          <w:szCs w:val="22"/>
        </w:rPr>
        <w:t xml:space="preserve"> 2009</w:t>
      </w:r>
      <w:r w:rsidR="003C0DCB" w:rsidRPr="006A5BBD">
        <w:rPr>
          <w:sz w:val="22"/>
          <w:szCs w:val="22"/>
        </w:rPr>
        <w:t>, S. 917-924</w:t>
      </w:r>
      <w:r w:rsidR="003A6214" w:rsidRPr="006A5BBD">
        <w:rPr>
          <w:sz w:val="22"/>
          <w:szCs w:val="22"/>
        </w:rPr>
        <w:t>.</w:t>
      </w:r>
      <w:r w:rsidR="00DA14B8" w:rsidRPr="006A5BBD">
        <w:rPr>
          <w:sz w:val="22"/>
          <w:szCs w:val="22"/>
        </w:rPr>
        <w:t xml:space="preserve"> (= Stabilität, Zukunftsoffenheit und Vielfaltssicherung – Die Pflege des verfassungsrechtlichen „Quellcodes“ durch das Bundesverfassungsgericht, in: Christian Hillgruber/Christian Waldhoff (H</w:t>
      </w:r>
      <w:r w:rsidR="001A0B81" w:rsidRPr="006A5BBD">
        <w:rPr>
          <w:sz w:val="22"/>
          <w:szCs w:val="22"/>
        </w:rPr>
        <w:t>rsg</w:t>
      </w:r>
      <w:r w:rsidR="00DA14B8" w:rsidRPr="006A5BBD">
        <w:rPr>
          <w:sz w:val="22"/>
          <w:szCs w:val="22"/>
        </w:rPr>
        <w:t>.), 60 Jahre Bonner Grundgesetz – eine geglückte Verfassung?, Bonner Recht</w:t>
      </w:r>
      <w:r w:rsidR="009562FE">
        <w:rPr>
          <w:sz w:val="22"/>
          <w:szCs w:val="22"/>
        </w:rPr>
        <w:t>s</w:t>
      </w:r>
      <w:r w:rsidR="00DA14B8" w:rsidRPr="006A5BBD">
        <w:rPr>
          <w:sz w:val="22"/>
          <w:szCs w:val="22"/>
        </w:rPr>
        <w:t>wissenschaftliche Abhandlungen Neue Folg</w:t>
      </w:r>
      <w:r w:rsidR="003B3486" w:rsidRPr="006A5BBD">
        <w:rPr>
          <w:sz w:val="22"/>
          <w:szCs w:val="22"/>
        </w:rPr>
        <w:t>e, Band 7, Bonn 2010, S. 97-116).</w:t>
      </w:r>
    </w:p>
    <w:p w14:paraId="1C978BE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CDFB06D" w14:textId="77777777" w:rsidR="003A6214" w:rsidRDefault="003A621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Der europäische Verfassungsgerichtsverbund, in: NVWZ 2010, S. 1-8.</w:t>
      </w:r>
    </w:p>
    <w:p w14:paraId="2C8041AE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F648242" w14:textId="77777777" w:rsidR="003A6214" w:rsidRDefault="003A621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Das Verwaltungsverfahren im Spiegel der Neuen Verwaltungsrechtswissenschaft, in: Martin Burgi/Klaus Schönenbroicher (Hrsg.), Die Zukunft des Verwaltungsverfahrensrechts. Zukunftswerkstatt Verwaltungsverfahren: Staat und Wirtschaft, Wissenschaft und Praxis im Dialog, Nomos, Baden-Baden 2010, S. 13-30.</w:t>
      </w:r>
    </w:p>
    <w:p w14:paraId="5DE5F3D8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9C88573" w14:textId="77777777" w:rsidR="004750A6" w:rsidRDefault="003A6214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Wie betreibt man offen(e) Rechtswissenschaft?, in: Wolfgang Hoffmann-Riem, Offene Rechtswissenschaft. Ausgewählte Schriften </w:t>
      </w:r>
      <w:r w:rsidR="00D61C1A" w:rsidRPr="006A5BBD">
        <w:rPr>
          <w:sz w:val="22"/>
          <w:szCs w:val="22"/>
        </w:rPr>
        <w:t xml:space="preserve">von Wolfgang Hoffmann-Riem </w:t>
      </w:r>
      <w:r w:rsidRPr="006A5BBD">
        <w:rPr>
          <w:sz w:val="22"/>
          <w:szCs w:val="22"/>
        </w:rPr>
        <w:t>und begleitende Analysen, Mohr Siebeck Verlag, Tübingen 2010, S. 153-173.</w:t>
      </w:r>
    </w:p>
    <w:p w14:paraId="7CB480C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3BCBFF0" w14:textId="77777777" w:rsidR="004750A6" w:rsidRPr="0064665E" w:rsidRDefault="004750A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GB"/>
        </w:rPr>
      </w:pPr>
      <w:r w:rsidRPr="006A5BBD">
        <w:rPr>
          <w:sz w:val="22"/>
          <w:szCs w:val="22"/>
          <w:lang w:val="en-GB"/>
        </w:rPr>
        <w:t xml:space="preserve">Multilevel Cooperation of the European Constitutional Courts - Der Europäische Verfassungsgerichtsverbund, </w:t>
      </w:r>
      <w:r w:rsidR="00B02C2B" w:rsidRPr="006A5BBD">
        <w:rPr>
          <w:sz w:val="22"/>
          <w:szCs w:val="22"/>
          <w:lang w:val="en-GB"/>
        </w:rPr>
        <w:t xml:space="preserve">in: </w:t>
      </w:r>
      <w:r w:rsidRPr="006A5BBD">
        <w:rPr>
          <w:sz w:val="22"/>
          <w:szCs w:val="22"/>
          <w:lang w:val="en-GB"/>
        </w:rPr>
        <w:t>European Constitutional Law Review 2010, S. 175-198.</w:t>
      </w:r>
    </w:p>
    <w:p w14:paraId="6B1C20D8" w14:textId="77777777" w:rsidR="006A5BBD" w:rsidRPr="0064665E" w:rsidRDefault="006A5BBD" w:rsidP="006A5BBD">
      <w:pPr>
        <w:pStyle w:val="FarbigeListe-Akzent11"/>
        <w:rPr>
          <w:sz w:val="22"/>
          <w:szCs w:val="22"/>
          <w:lang w:val="en-GB"/>
        </w:rPr>
      </w:pPr>
    </w:p>
    <w:p w14:paraId="3124E353" w14:textId="77777777" w:rsidR="004750A6" w:rsidRDefault="004750A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Religionsfreiheit und Religionskritik </w:t>
      </w:r>
      <w:r w:rsidR="002A6CD4" w:rsidRPr="006A5BBD">
        <w:rPr>
          <w:sz w:val="22"/>
          <w:szCs w:val="22"/>
        </w:rPr>
        <w:t>–</w:t>
      </w:r>
      <w:r w:rsidRPr="006A5BBD">
        <w:rPr>
          <w:sz w:val="22"/>
          <w:szCs w:val="22"/>
        </w:rPr>
        <w:t xml:space="preserve"> Zur Verrechtlichung religiöser Konfli</w:t>
      </w:r>
      <w:r w:rsidR="00FC392A">
        <w:rPr>
          <w:sz w:val="22"/>
          <w:szCs w:val="22"/>
        </w:rPr>
        <w:t>kte, in: EuGRZ 2010, S. 537-543 = Gesellschaft für Reichskammergerichtsforschung Heft 39 (2011).</w:t>
      </w:r>
    </w:p>
    <w:p w14:paraId="6F31AD82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FDA4392" w14:textId="0E548362" w:rsidR="004750A6" w:rsidRDefault="004750A6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Europa als Gegenstand wissenschaftlicher Reflexion </w:t>
      </w:r>
      <w:r w:rsidR="002A6CD4" w:rsidRPr="006A5BBD">
        <w:rPr>
          <w:sz w:val="22"/>
          <w:szCs w:val="22"/>
        </w:rPr>
        <w:t>–</w:t>
      </w:r>
      <w:r w:rsidRPr="006A5BBD">
        <w:rPr>
          <w:sz w:val="22"/>
          <w:szCs w:val="22"/>
        </w:rPr>
        <w:t xml:space="preserve"> ein</w:t>
      </w:r>
      <w:r w:rsidR="009562FE">
        <w:rPr>
          <w:sz w:val="22"/>
          <w:szCs w:val="22"/>
        </w:rPr>
        <w:t>e</w:t>
      </w:r>
      <w:r w:rsidRPr="006A5BBD">
        <w:rPr>
          <w:sz w:val="22"/>
          <w:szCs w:val="22"/>
        </w:rPr>
        <w:t xml:space="preserve"> thematische Annäherung in 12</w:t>
      </w:r>
      <w:r w:rsidR="00BB7BEC" w:rsidRPr="006A5BBD">
        <w:rPr>
          <w:sz w:val="22"/>
          <w:szCs w:val="22"/>
        </w:rPr>
        <w:t> </w:t>
      </w:r>
      <w:r w:rsidRPr="006A5BBD">
        <w:rPr>
          <w:sz w:val="22"/>
          <w:szCs w:val="22"/>
        </w:rPr>
        <w:t>Thesen, in: Claudio Franzius/Franz C. Mayer/Jürgen Neyer (Hrsg.), Strukturfragen der Europäischen Union, Nomos Verlag, Baden-Baden 2010, S. 37-45.</w:t>
      </w:r>
    </w:p>
    <w:p w14:paraId="535F0EE1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00CABB96" w14:textId="77777777" w:rsidR="00DF63E3" w:rsidRDefault="00DF63E3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Verwaltungsrecht &amp; Verwaltungswissenschaft = Neue Verwaltungsrechtswissenschaft, in: Bayerische Verwaltungsblätter 2010, S. 581-589 = Verwaltungsrecht &amp; Verwaltungswissenschaft = Neue Verwaltungsrechtswissenschaft, in: Utz Schliesky (Hrsg.), 30 Jahre Lorenz-von-Stein-Institut für Verwaltungswissenschaften, Quellen zur Verfassungs- und Verwaltungsgeschichte Nr. 30, Kiel 2010, S. 23-45.</w:t>
      </w:r>
    </w:p>
    <w:p w14:paraId="7C8B27E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0186D4E4" w14:textId="77777777" w:rsidR="006A5BBD" w:rsidRDefault="006A5BB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Die Integrationsverantwortung des Bundesverfassungsgerichts, in: Peter Axer/Bernd Grzeszick/Wolfgang Kahl/Ute Mager/Ekkehart Reimer (Hrsg.), Das Europäische Verwaltungsrecht in der Konsolidierungsphase, Die Verwaltung Beiheft 10, 2010, S. 229-240.</w:t>
      </w:r>
    </w:p>
    <w:p w14:paraId="2CA1D32B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572EF622" w14:textId="77777777" w:rsidR="006A5BBD" w:rsidRDefault="006A5BB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Das Leitbild des “europäischen Juristen“. Gedanken zur Juristenausbildung und Rechtskultur in Deutschland, in: RECHTSWISSENSCHAFT 2010, S. 326-346 (= Der europäische Jurist. Gedanken zur Juristenausbildung in Deutschland, in: Verein Deutscher Verwaltungsrichtertag e.V. (Hrsg.), 16. Deutscher Verwaltungsrichtertag Freiburg 2010, Boorberg Verlag, Stuttgart u.a., 2011, S. 23-41).</w:t>
      </w:r>
    </w:p>
    <w:p w14:paraId="3FA54FB4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3EF8A5A" w14:textId="6B2DD571" w:rsidR="00DF63E3" w:rsidRDefault="00DF63E3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Hugo Preuß als Vordenker einer Verfassungstheorie des Pluralismus, in: DER STAAT </w:t>
      </w:r>
      <w:r w:rsidR="00413CB5" w:rsidRPr="006A5BBD">
        <w:rPr>
          <w:sz w:val="22"/>
          <w:szCs w:val="22"/>
        </w:rPr>
        <w:br/>
      </w:r>
      <w:r w:rsidRPr="006A5BBD">
        <w:rPr>
          <w:sz w:val="22"/>
          <w:szCs w:val="22"/>
        </w:rPr>
        <w:t>Bd. 50 (2011), S. 251-267 = Hugo Preuß als Vordenker einer Verfassungstheorie des Pluralismus, in: Jürge</w:t>
      </w:r>
      <w:r w:rsidR="00F6658E" w:rsidRPr="006A5BBD">
        <w:rPr>
          <w:sz w:val="22"/>
          <w:szCs w:val="22"/>
        </w:rPr>
        <w:t>n Kocka/Günter Stock (Hrsg.), Hu</w:t>
      </w:r>
      <w:r w:rsidRPr="006A5BBD">
        <w:rPr>
          <w:sz w:val="22"/>
          <w:szCs w:val="22"/>
        </w:rPr>
        <w:t>go Preuß: Vordenker der Pluralismustheorie. Vorträge und Diskussion zum 150. Geburtstag des "Vater</w:t>
      </w:r>
      <w:r w:rsidR="00F6658E" w:rsidRPr="006A5BBD">
        <w:rPr>
          <w:sz w:val="22"/>
          <w:szCs w:val="22"/>
        </w:rPr>
        <w:t>s</w:t>
      </w:r>
      <w:r w:rsidRPr="006A5BBD">
        <w:rPr>
          <w:sz w:val="22"/>
          <w:szCs w:val="22"/>
        </w:rPr>
        <w:t xml:space="preserve"> der Weimarer Reichsverfassung", Berlin 2011, S. 23-42</w:t>
      </w:r>
      <w:r w:rsidR="005B4DBB">
        <w:rPr>
          <w:sz w:val="22"/>
          <w:szCs w:val="22"/>
        </w:rPr>
        <w:t xml:space="preserve"> =  </w:t>
      </w:r>
      <w:r w:rsidR="005B4DBB" w:rsidRPr="006A5BBD">
        <w:rPr>
          <w:sz w:val="22"/>
          <w:szCs w:val="22"/>
        </w:rPr>
        <w:t>Hugo Preuß als Vordenker einer Verfassungstheorie des Pluralismus, in:</w:t>
      </w:r>
      <w:r w:rsidR="005B4DBB">
        <w:rPr>
          <w:sz w:val="22"/>
          <w:szCs w:val="22"/>
        </w:rPr>
        <w:t xml:space="preserve"> Christoph Gusy/Robert  Chr. van Ooyen/Hendrik Wassermann (Hrsg.) 100 Jahre Weimarer und Wiener Republik – Avantgarde der Pluralismustheorie, Recht und Politik, Beiheft 3, Berlin 2018, S. 39-56.</w:t>
      </w:r>
    </w:p>
    <w:p w14:paraId="579B6FFE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01244030" w14:textId="77777777" w:rsidR="00DF63E3" w:rsidRDefault="00DF63E3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Der präventive Richtervorbehalt - "Königsweg" für den präventiven Grundrechtsschutz oder "rechtsstaatliches Trostpflaster"?, in: Ivo Appel/Georg Hermes/Christoph Schönberger (Hrsg.), Öffen</w:t>
      </w:r>
      <w:r w:rsidR="00717320" w:rsidRPr="006A5BBD">
        <w:rPr>
          <w:sz w:val="22"/>
          <w:szCs w:val="22"/>
        </w:rPr>
        <w:t>t</w:t>
      </w:r>
      <w:r w:rsidRPr="006A5BBD">
        <w:rPr>
          <w:sz w:val="22"/>
          <w:szCs w:val="22"/>
        </w:rPr>
        <w:t>liches Rec</w:t>
      </w:r>
      <w:r w:rsidR="00F6658E" w:rsidRPr="006A5BBD">
        <w:rPr>
          <w:sz w:val="22"/>
          <w:szCs w:val="22"/>
        </w:rPr>
        <w:t>ht im offen</w:t>
      </w:r>
      <w:r w:rsidR="00717320" w:rsidRPr="006A5BBD">
        <w:rPr>
          <w:sz w:val="22"/>
          <w:szCs w:val="22"/>
        </w:rPr>
        <w:t>en</w:t>
      </w:r>
      <w:r w:rsidR="00F6658E" w:rsidRPr="006A5BBD">
        <w:rPr>
          <w:sz w:val="22"/>
          <w:szCs w:val="22"/>
        </w:rPr>
        <w:t xml:space="preserve"> Staat, Festschrift f</w:t>
      </w:r>
      <w:r w:rsidRPr="006A5BBD">
        <w:rPr>
          <w:sz w:val="22"/>
          <w:szCs w:val="22"/>
        </w:rPr>
        <w:t xml:space="preserve">ür Rainer Wahl zum </w:t>
      </w:r>
      <w:r w:rsidR="00413CB5" w:rsidRPr="006A5BBD">
        <w:rPr>
          <w:sz w:val="22"/>
          <w:szCs w:val="22"/>
        </w:rPr>
        <w:br/>
      </w:r>
      <w:r w:rsidRPr="006A5BBD">
        <w:rPr>
          <w:sz w:val="22"/>
          <w:szCs w:val="22"/>
        </w:rPr>
        <w:t>70. G</w:t>
      </w:r>
      <w:r w:rsidR="00F6658E" w:rsidRPr="006A5BBD">
        <w:rPr>
          <w:sz w:val="22"/>
          <w:szCs w:val="22"/>
        </w:rPr>
        <w:t>eburtstag, Berlin 2011, S. 443-4</w:t>
      </w:r>
      <w:r w:rsidRPr="006A5BBD">
        <w:rPr>
          <w:sz w:val="22"/>
          <w:szCs w:val="22"/>
        </w:rPr>
        <w:t xml:space="preserve">60. </w:t>
      </w:r>
    </w:p>
    <w:p w14:paraId="66BF2DE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F50E729" w14:textId="77777777" w:rsidR="00DF63E3" w:rsidRPr="006A5BBD" w:rsidRDefault="00DF63E3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4665E">
        <w:rPr>
          <w:sz w:val="22"/>
          <w:szCs w:val="22"/>
          <w:lang w:val="en-GB"/>
        </w:rPr>
        <w:t>Protection of Human Rights in the European Union: Multilevel Cooperation of the Euro</w:t>
      </w:r>
      <w:r w:rsidR="00F6658E" w:rsidRPr="0064665E">
        <w:rPr>
          <w:sz w:val="22"/>
          <w:szCs w:val="22"/>
          <w:lang w:val="en-GB"/>
        </w:rPr>
        <w:t>pean Co</w:t>
      </w:r>
      <w:r w:rsidRPr="0064665E">
        <w:rPr>
          <w:sz w:val="22"/>
          <w:szCs w:val="22"/>
          <w:lang w:val="en-GB"/>
        </w:rPr>
        <w:t xml:space="preserve">nstitutional Courts, in: Wilhelm Krull (ed.), Research and Responsibility. </w:t>
      </w:r>
      <w:r w:rsidRPr="006A5BBD">
        <w:rPr>
          <w:sz w:val="22"/>
          <w:szCs w:val="22"/>
        </w:rPr>
        <w:t>Reflections on our Common Future, Leipzig 2011, S. 191-206</w:t>
      </w:r>
      <w:r w:rsidRPr="006A5BBD">
        <w:rPr>
          <w:rFonts w:ascii="Arial" w:hAnsi="Arial" w:cs="Arial"/>
          <w:lang w:val="en-GB"/>
        </w:rPr>
        <w:t>.</w:t>
      </w:r>
    </w:p>
    <w:p w14:paraId="6DC0F8F1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F1B28B8" w14:textId="77777777" w:rsidR="00EB6FB0" w:rsidRDefault="00EB6FB0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Der Sozialstaat in der Rechtsprechung des Bundesverfassungsgerichts, </w:t>
      </w:r>
      <w:r w:rsidR="00B02C2B" w:rsidRPr="006A5BBD">
        <w:rPr>
          <w:sz w:val="22"/>
          <w:szCs w:val="22"/>
        </w:rPr>
        <w:t>in: SGb 2011, S. </w:t>
      </w:r>
      <w:r w:rsidRPr="006A5BBD">
        <w:rPr>
          <w:sz w:val="22"/>
          <w:szCs w:val="22"/>
        </w:rPr>
        <w:t>181-186.</w:t>
      </w:r>
    </w:p>
    <w:p w14:paraId="6FF5D55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507254E" w14:textId="77777777" w:rsidR="00EB6FB0" w:rsidRDefault="00EB6FB0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Einführung, in: "Beck`sche Textausgabe Grundgesetz", 60. </w:t>
      </w:r>
      <w:r w:rsidR="00B02C2B" w:rsidRPr="006A5BBD">
        <w:rPr>
          <w:sz w:val="22"/>
          <w:szCs w:val="22"/>
        </w:rPr>
        <w:t>Aufl. München 2011, S. </w:t>
      </w:r>
      <w:r w:rsidRPr="006A5BBD">
        <w:rPr>
          <w:sz w:val="22"/>
          <w:szCs w:val="22"/>
        </w:rPr>
        <w:t>XI-XXVIII.</w:t>
      </w:r>
      <w:r w:rsidR="00365634">
        <w:rPr>
          <w:sz w:val="22"/>
          <w:szCs w:val="22"/>
        </w:rPr>
        <w:t>, 65. Aufl. 2017, S. XI-XXIX.</w:t>
      </w:r>
    </w:p>
    <w:p w14:paraId="3E2EF6FB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AC5C643" w14:textId="77777777" w:rsidR="00773B0F" w:rsidRDefault="00773B0F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 xml:space="preserve">Die Landesverfassungsgerichtsbarkeit im föderalen und europäischen Verfassungsgerichtsverbund, in: Peter Häberle (Hrsg.), Jahrbuch des öffentlichen Rechts der Gegenwart, N. F., Band 59, Tübingen 2011, S. 215-243. </w:t>
      </w:r>
    </w:p>
    <w:p w14:paraId="0053D25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AB8C020" w14:textId="77777777" w:rsidR="006A5BBD" w:rsidRDefault="006A5BB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Fruchtbares Zusammenspiel: weder Motor noch Bremser: Das Bundesverfassungsgericht trägt eine zentrale Verantwortung für die europäische Integration – und sichert zugleich die staatliche Identität, in: Staat und Recht 2011, S. 48-51.</w:t>
      </w:r>
    </w:p>
    <w:p w14:paraId="0CAF5CC7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3E86F54A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Menschenrechte im europäischen Verfassungsgerichtsverbund, in: Andreas Kellerhals (Hrsg.), Europe at the Crossroads, Zürich 2012, S. 11-32.</w:t>
      </w:r>
    </w:p>
    <w:p w14:paraId="5A7CFE29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082F426A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Die Rolle der Länderparlamente im europäischen Integrationsprozess, in: Landtag von Baden-Württemberg (Hrsg.), Festsitzung des Landtags von Baden-Württemberg, Stuttgart 2012, S. 24-37.</w:t>
      </w:r>
    </w:p>
    <w:p w14:paraId="181395FB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26D7DDF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Michael Kohlhaas und der Kampf ums Recht, in: JZ 2012, S. 917-925 (zusammen mit Jo</w:t>
      </w:r>
      <w:r w:rsidR="00953FDA">
        <w:rPr>
          <w:sz w:val="22"/>
          <w:szCs w:val="22"/>
        </w:rPr>
        <w:t>hannes Gerberding).</w:t>
      </w:r>
    </w:p>
    <w:p w14:paraId="7D82BCFC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1B98FBBF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Verfassungsgerichtsbarkeit und europäische Integration, in: Verfassungsgerichtshof der Republik Österreich (Hrsg.), Verfassungstag 2012, Wien 2012, S. 17-33.</w:t>
      </w:r>
    </w:p>
    <w:p w14:paraId="56FE8CF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7E7239D0" w14:textId="77777777" w:rsidR="00370C92" w:rsidRDefault="00370C9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Menschenrechte im Europäischen Verfassungsgerichtsverbund, in: Hartmut Bauer/Detlef Czybulka/Wolfgang Kahl/Jerzy Stelmach/Andreas Voßkuhle</w:t>
      </w:r>
      <w:r w:rsidR="0018558F" w:rsidRPr="006A5BBD">
        <w:rPr>
          <w:sz w:val="22"/>
          <w:szCs w:val="22"/>
        </w:rPr>
        <w:t xml:space="preserve"> (Hrsg.)</w:t>
      </w:r>
      <w:r w:rsidRPr="006A5BBD">
        <w:rPr>
          <w:sz w:val="22"/>
          <w:szCs w:val="22"/>
        </w:rPr>
        <w:t xml:space="preserve">: Krakauer-Augsburger Rechtsstudien – Öffentliches Wirtschaftsrecht im Zeitalter der Globalisierung, Warszawa 2012, S. 81-104. </w:t>
      </w:r>
    </w:p>
    <w:p w14:paraId="7F20E435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2BDFCB01" w14:textId="77777777" w:rsidR="00392AB2" w:rsidRDefault="005842D5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Was leistet Rechtsdogmatik?</w:t>
      </w:r>
      <w:r w:rsidR="00070FFD" w:rsidRPr="006A5BBD">
        <w:rPr>
          <w:sz w:val="22"/>
          <w:szCs w:val="22"/>
        </w:rPr>
        <w:t>: Zusammenführung und Ausblick in 12 Thesen, in</w:t>
      </w:r>
      <w:r w:rsidRPr="006A5BBD">
        <w:rPr>
          <w:sz w:val="22"/>
          <w:szCs w:val="22"/>
        </w:rPr>
        <w:t xml:space="preserve">: </w:t>
      </w:r>
      <w:r w:rsidR="00070FFD" w:rsidRPr="006A5BBD">
        <w:rPr>
          <w:sz w:val="22"/>
          <w:szCs w:val="22"/>
        </w:rPr>
        <w:t xml:space="preserve">Gregor Kirchhof/Stegan Magen/Karsten Schneider (Hrsg.), </w:t>
      </w:r>
      <w:r w:rsidRPr="006A5BBD">
        <w:rPr>
          <w:sz w:val="22"/>
          <w:szCs w:val="22"/>
        </w:rPr>
        <w:t>Was weiß Dogmatik?</w:t>
      </w:r>
      <w:r w:rsidR="00070FFD" w:rsidRPr="006A5BBD">
        <w:rPr>
          <w:sz w:val="22"/>
          <w:szCs w:val="22"/>
        </w:rPr>
        <w:t xml:space="preserve">, </w:t>
      </w:r>
      <w:r w:rsidRPr="006A5BBD">
        <w:rPr>
          <w:sz w:val="22"/>
          <w:szCs w:val="22"/>
        </w:rPr>
        <w:t>2012, S. 111-114.</w:t>
      </w:r>
    </w:p>
    <w:p w14:paraId="437BA1AE" w14:textId="77777777" w:rsidR="00FC392A" w:rsidRDefault="00FC392A" w:rsidP="00FC392A">
      <w:pPr>
        <w:spacing w:line="320" w:lineRule="exact"/>
        <w:ind w:left="720"/>
        <w:rPr>
          <w:sz w:val="22"/>
          <w:szCs w:val="22"/>
        </w:rPr>
      </w:pPr>
    </w:p>
    <w:p w14:paraId="78F67284" w14:textId="77777777" w:rsidR="00FC392A" w:rsidRDefault="00FC392A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Über die Demokratie in Europa, APuZ (62) 2012, S. 3-9.</w:t>
      </w:r>
    </w:p>
    <w:p w14:paraId="219417C8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496127CD" w14:textId="77777777" w:rsidR="00070FFD" w:rsidRDefault="00070FF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Umweltschutz und Grundgesetz, in: NVwZ 2013, S. 1-7.</w:t>
      </w:r>
    </w:p>
    <w:p w14:paraId="2F40BCA3" w14:textId="77777777" w:rsidR="006A5BBD" w:rsidRDefault="006A5BBD" w:rsidP="006A5BBD">
      <w:pPr>
        <w:pStyle w:val="FarbigeListe-Akzent11"/>
        <w:rPr>
          <w:sz w:val="22"/>
          <w:szCs w:val="22"/>
        </w:rPr>
      </w:pPr>
    </w:p>
    <w:p w14:paraId="619198E6" w14:textId="77777777" w:rsidR="00070FFD" w:rsidRDefault="00070FFD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A5BBD">
        <w:rPr>
          <w:sz w:val="22"/>
          <w:szCs w:val="22"/>
        </w:rPr>
        <w:t>Das Verhältnis von Freiheit und Sicherheit – Hat der 11. September 2001 das deutsc</w:t>
      </w:r>
      <w:r w:rsidR="00392AB2" w:rsidRPr="006A5BBD">
        <w:rPr>
          <w:sz w:val="22"/>
          <w:szCs w:val="22"/>
        </w:rPr>
        <w:t xml:space="preserve">he Verfassungsrecht verändert?, </w:t>
      </w:r>
      <w:r w:rsidRPr="006A5BBD">
        <w:rPr>
          <w:sz w:val="22"/>
          <w:szCs w:val="22"/>
        </w:rPr>
        <w:t>in: Dirk Heckmann/Ralf P. Schenke/Gernot Sydow (Hrsg.), Verfassungsstaatlichkeit im Wandel, Festschrift für Thomas Würtenberger zum 70. Geburtstag, Berlin 2013, S. 1101-1120.</w:t>
      </w:r>
    </w:p>
    <w:p w14:paraId="29A387AC" w14:textId="77777777" w:rsidR="00F81D22" w:rsidRDefault="00F81D22" w:rsidP="00F81D22">
      <w:pPr>
        <w:pStyle w:val="FarbigeListe-Akzent11"/>
        <w:rPr>
          <w:sz w:val="22"/>
          <w:szCs w:val="22"/>
        </w:rPr>
      </w:pPr>
    </w:p>
    <w:p w14:paraId="01989C58" w14:textId="77777777" w:rsidR="00F81D22" w:rsidRPr="0064665E" w:rsidRDefault="00F81D2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GB"/>
        </w:rPr>
      </w:pPr>
      <w:r w:rsidRPr="0064665E">
        <w:rPr>
          <w:sz w:val="22"/>
          <w:szCs w:val="22"/>
          <w:lang w:val="en-GB"/>
        </w:rPr>
        <w:t xml:space="preserve">The Cooperation Between European Courts: The </w:t>
      </w:r>
      <w:r w:rsidRPr="0064665E">
        <w:rPr>
          <w:i/>
          <w:sz w:val="22"/>
          <w:szCs w:val="22"/>
          <w:lang w:val="en-GB"/>
        </w:rPr>
        <w:t xml:space="preserve">Verbund </w:t>
      </w:r>
      <w:r w:rsidRPr="0064665E">
        <w:rPr>
          <w:sz w:val="22"/>
          <w:szCs w:val="22"/>
          <w:lang w:val="en-GB"/>
        </w:rPr>
        <w:t xml:space="preserve">of European Courts and </w:t>
      </w:r>
      <w:r w:rsidR="007A0740" w:rsidRPr="0064665E">
        <w:rPr>
          <w:sz w:val="22"/>
          <w:szCs w:val="22"/>
          <w:lang w:val="en-GB"/>
        </w:rPr>
        <w:t>its</w:t>
      </w:r>
      <w:r w:rsidRPr="0064665E">
        <w:rPr>
          <w:sz w:val="22"/>
          <w:szCs w:val="22"/>
          <w:lang w:val="en-GB"/>
        </w:rPr>
        <w:t xml:space="preserve"> Legal Toolbox, in: </w:t>
      </w:r>
      <w:r w:rsidR="007A0740" w:rsidRPr="0064665E">
        <w:rPr>
          <w:sz w:val="22"/>
          <w:szCs w:val="22"/>
          <w:lang w:val="en-GB"/>
        </w:rPr>
        <w:t xml:space="preserve">Allan Rosas/Egils Levits/Yves Bot (Hrsg.), </w:t>
      </w:r>
      <w:r w:rsidRPr="0064665E">
        <w:rPr>
          <w:sz w:val="22"/>
          <w:szCs w:val="22"/>
          <w:lang w:val="en-GB"/>
        </w:rPr>
        <w:t>The Court of Justice and the Construction of Europe: Analyses and Perspectives on Sixty Years of Case-law, Luxembourg 2013, S. 81-98.</w:t>
      </w:r>
    </w:p>
    <w:p w14:paraId="56B27AB0" w14:textId="77777777" w:rsidR="00F81D22" w:rsidRPr="0064665E" w:rsidRDefault="00F81D22" w:rsidP="00F81D22">
      <w:pPr>
        <w:pStyle w:val="FarbigeListe-Akzent11"/>
        <w:rPr>
          <w:sz w:val="22"/>
          <w:szCs w:val="22"/>
          <w:lang w:val="en-GB"/>
        </w:rPr>
      </w:pPr>
    </w:p>
    <w:p w14:paraId="18199DEA" w14:textId="77777777" w:rsidR="00F81D22" w:rsidRDefault="00F81D22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Rechtsprechen, in: Hanno Kube/Rudolf Mellinghoff/Gerd Morgenthaler/Ulrich Palm/Thomas Puhl/Christian Seiler (Hrsg.), Leitgedanken des Rechts, Paul Kirchhof zum 70. Geburtstag, </w:t>
      </w:r>
      <w:r w:rsidR="007A0740">
        <w:rPr>
          <w:sz w:val="22"/>
          <w:szCs w:val="22"/>
        </w:rPr>
        <w:t xml:space="preserve">Heidelberg </w:t>
      </w:r>
      <w:r>
        <w:rPr>
          <w:sz w:val="22"/>
          <w:szCs w:val="22"/>
        </w:rPr>
        <w:t>2013</w:t>
      </w:r>
      <w:r w:rsidR="007A0740">
        <w:rPr>
          <w:sz w:val="22"/>
          <w:szCs w:val="22"/>
        </w:rPr>
        <w:t>, S. 931-938.</w:t>
      </w:r>
    </w:p>
    <w:p w14:paraId="29CBCF22" w14:textId="77777777" w:rsidR="007A0740" w:rsidRDefault="007A0740" w:rsidP="007A0740">
      <w:pPr>
        <w:pStyle w:val="FarbigeListe-Akzent11"/>
        <w:rPr>
          <w:sz w:val="22"/>
          <w:szCs w:val="22"/>
        </w:rPr>
      </w:pPr>
    </w:p>
    <w:p w14:paraId="0AD61CE1" w14:textId="77777777" w:rsidR="007A0740" w:rsidRPr="0064665E" w:rsidRDefault="00835E3E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GB"/>
        </w:rPr>
      </w:pPr>
      <w:r w:rsidRPr="0064665E">
        <w:rPr>
          <w:sz w:val="22"/>
          <w:szCs w:val="22"/>
          <w:lang w:val="en-GB"/>
        </w:rPr>
        <w:t xml:space="preserve">The Protection of Human Rights within the European Cooperation of Courts, in: European Commission for Democracy through Law, Venice Commission, </w:t>
      </w:r>
      <w:r w:rsidR="003B5803" w:rsidRPr="0064665E">
        <w:rPr>
          <w:sz w:val="22"/>
          <w:szCs w:val="22"/>
          <w:lang w:val="en-GB"/>
        </w:rPr>
        <w:t xml:space="preserve">CDL-JU(2013)001, </w:t>
      </w:r>
      <w:r w:rsidR="003B5803" w:rsidRPr="0064665E">
        <w:rPr>
          <w:sz w:val="22"/>
          <w:szCs w:val="22"/>
          <w:lang w:val="en-GB"/>
        </w:rPr>
        <w:br/>
      </w:r>
      <w:r w:rsidRPr="0064665E">
        <w:rPr>
          <w:sz w:val="22"/>
          <w:szCs w:val="22"/>
          <w:lang w:val="en-GB"/>
        </w:rPr>
        <w:t>Venice 2013.</w:t>
      </w:r>
    </w:p>
    <w:p w14:paraId="531E88D4" w14:textId="77777777" w:rsidR="00835E3E" w:rsidRPr="0064665E" w:rsidRDefault="00835E3E" w:rsidP="00835E3E">
      <w:pPr>
        <w:pStyle w:val="FarbigeListe-Akzent11"/>
        <w:rPr>
          <w:sz w:val="22"/>
          <w:szCs w:val="22"/>
          <w:lang w:val="en-GB"/>
        </w:rPr>
      </w:pPr>
    </w:p>
    <w:p w14:paraId="5574037B" w14:textId="77777777" w:rsidR="00835E3E" w:rsidRDefault="00835E3E" w:rsidP="006A5BBD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Die Verwaltungsgerichte im Europäischen Gerichtsverbund</w:t>
      </w:r>
      <w:r w:rsidR="00047B1C">
        <w:rPr>
          <w:sz w:val="22"/>
          <w:szCs w:val="22"/>
        </w:rPr>
        <w:t>, Vortrag in Dresden anlässlich des 20-jährigen Bestehens der sächsischen Verwaltungsgerichtsbarkeit, in SächsVBl. 2013, S. 77-81.</w:t>
      </w:r>
    </w:p>
    <w:p w14:paraId="5EB6770C" w14:textId="77777777" w:rsidR="00750E93" w:rsidRDefault="00750E93" w:rsidP="00750E93">
      <w:pPr>
        <w:spacing w:line="320" w:lineRule="exact"/>
        <w:rPr>
          <w:sz w:val="22"/>
          <w:szCs w:val="22"/>
        </w:rPr>
      </w:pPr>
    </w:p>
    <w:p w14:paraId="190200BF" w14:textId="77777777" w:rsidR="00750E93" w:rsidRDefault="00750E93" w:rsidP="00750E93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750E93">
        <w:rPr>
          <w:sz w:val="22"/>
          <w:szCs w:val="22"/>
        </w:rPr>
        <w:t xml:space="preserve">Der Rechtsanwalt und das BVerfG – Aktuelle Herausforderungen der Verfassungsrechtsprechung, </w:t>
      </w:r>
      <w:r w:rsidR="00F77580">
        <w:rPr>
          <w:sz w:val="22"/>
          <w:szCs w:val="22"/>
        </w:rPr>
        <w:t xml:space="preserve">in </w:t>
      </w:r>
      <w:r w:rsidRPr="00750E93">
        <w:rPr>
          <w:sz w:val="22"/>
          <w:szCs w:val="22"/>
        </w:rPr>
        <w:t>NJW 2013, S. 1329-1335.</w:t>
      </w:r>
    </w:p>
    <w:p w14:paraId="7CE35CC0" w14:textId="77777777" w:rsidR="00DD54F0" w:rsidRDefault="00DD54F0" w:rsidP="00DD54F0">
      <w:pPr>
        <w:pStyle w:val="FarbigeListe-Akzent11"/>
        <w:rPr>
          <w:sz w:val="22"/>
          <w:szCs w:val="22"/>
        </w:rPr>
      </w:pPr>
    </w:p>
    <w:p w14:paraId="396A28E3" w14:textId="77777777" w:rsidR="00DD54F0" w:rsidRDefault="008A1B11" w:rsidP="00750E93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Zur Koordination des deutschen und europäischen Menschenrechtsschutzes im Lichte des Urteils des BVerfG vom 4. Mai 2011 (BVerfGE 128, 326 ff.) zur Sicherungsverwahrung</w:t>
      </w:r>
      <w:r w:rsidR="00DD54F0">
        <w:rPr>
          <w:sz w:val="22"/>
          <w:szCs w:val="22"/>
        </w:rPr>
        <w:t xml:space="preserve">, in: Georg Freund/Uwe Murmann/René Bloy/Walter Perron (Hrsg.), </w:t>
      </w:r>
      <w:r>
        <w:rPr>
          <w:sz w:val="22"/>
          <w:szCs w:val="22"/>
        </w:rPr>
        <w:t xml:space="preserve">Grundlagen und Dogmatik des gesamten Strafrechtssystems, </w:t>
      </w:r>
      <w:r w:rsidR="00DD54F0">
        <w:rPr>
          <w:sz w:val="22"/>
          <w:szCs w:val="22"/>
        </w:rPr>
        <w:t>Festschrift für Wolfgang</w:t>
      </w:r>
      <w:r>
        <w:rPr>
          <w:sz w:val="22"/>
          <w:szCs w:val="22"/>
        </w:rPr>
        <w:t xml:space="preserve"> Frisch </w:t>
      </w:r>
      <w:r w:rsidR="00DD54F0">
        <w:rPr>
          <w:sz w:val="22"/>
          <w:szCs w:val="22"/>
        </w:rPr>
        <w:t>zum 70. Geburtstag, Berlin 2013, S. 1359-1373</w:t>
      </w:r>
      <w:r w:rsidR="0007209F">
        <w:rPr>
          <w:sz w:val="22"/>
          <w:szCs w:val="22"/>
        </w:rPr>
        <w:t>.</w:t>
      </w:r>
    </w:p>
    <w:p w14:paraId="38AF5F1D" w14:textId="77777777" w:rsidR="00674369" w:rsidRPr="00674369" w:rsidRDefault="00674369" w:rsidP="00674369">
      <w:pPr>
        <w:spacing w:line="320" w:lineRule="exact"/>
        <w:rPr>
          <w:sz w:val="22"/>
          <w:szCs w:val="22"/>
        </w:rPr>
      </w:pPr>
    </w:p>
    <w:p w14:paraId="3AE09C6C" w14:textId="77777777" w:rsidR="00F1657C" w:rsidRDefault="00674369" w:rsidP="00F1657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674369">
        <w:rPr>
          <w:sz w:val="22"/>
          <w:szCs w:val="22"/>
        </w:rPr>
        <w:t>Zur Einwirkung der Verfassung auf das Zivilrecht, in: Alexander Bruns u.a. (Hrsg.), Festschrift für Rolf Stürner zum 70. Geburtstag, 1. Teilband, Tübingen 2013, S. 79-92</w:t>
      </w:r>
      <w:r>
        <w:rPr>
          <w:sz w:val="22"/>
          <w:szCs w:val="22"/>
        </w:rPr>
        <w:t>.</w:t>
      </w:r>
    </w:p>
    <w:p w14:paraId="55DDC09D" w14:textId="77777777" w:rsidR="00F77580" w:rsidRDefault="00F77580" w:rsidP="00F77580">
      <w:pPr>
        <w:pStyle w:val="FarbigeListe-Akzent11"/>
        <w:rPr>
          <w:sz w:val="22"/>
          <w:szCs w:val="22"/>
        </w:rPr>
      </w:pPr>
    </w:p>
    <w:p w14:paraId="373317A9" w14:textId="77777777" w:rsidR="00F77580" w:rsidRDefault="00F77580" w:rsidP="00F1657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Verfassungsgerichtsbarkeit und europäische Integration</w:t>
      </w:r>
      <w:r w:rsidR="00A552BC">
        <w:rPr>
          <w:sz w:val="22"/>
          <w:szCs w:val="22"/>
        </w:rPr>
        <w:t>, in: NVwZ  Beilage 1/2013 (Festheft 60 Jahre Bundesverwaltungsgericht), S. 27-31.</w:t>
      </w:r>
    </w:p>
    <w:p w14:paraId="3E1F72F4" w14:textId="77777777" w:rsidR="00023E61" w:rsidRDefault="00023E61" w:rsidP="00023E61">
      <w:pPr>
        <w:pStyle w:val="FarbigeListe-Akzent11"/>
        <w:rPr>
          <w:sz w:val="22"/>
          <w:szCs w:val="22"/>
        </w:rPr>
      </w:pPr>
    </w:p>
    <w:p w14:paraId="5789DC32" w14:textId="77777777" w:rsidR="00023E61" w:rsidRDefault="00023E61" w:rsidP="00F1657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Die Staatstheorie des Bundesverfassungsgerichts, in: Andreas Voßkuhle/Christian Bumke/Florian Meinel (Hrsg.), Verabschiedung und Wiederentdeckung des Staates im Spannungsfeld der Disziplinen, Berlin 2013, S. 371-383.</w:t>
      </w:r>
    </w:p>
    <w:p w14:paraId="5ED15709" w14:textId="77777777" w:rsidR="00A552BC" w:rsidRDefault="00A552BC" w:rsidP="00A552BC">
      <w:pPr>
        <w:pStyle w:val="FarbigeListe-Akzent11"/>
        <w:rPr>
          <w:sz w:val="22"/>
          <w:szCs w:val="22"/>
        </w:rPr>
      </w:pPr>
    </w:p>
    <w:p w14:paraId="2004CB30" w14:textId="77777777" w:rsidR="00A552BC" w:rsidRDefault="00A552BC" w:rsidP="00A552BC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Die Rolle der Länderparlamente im europäischen Integrationsprozess, in: Wolfgang Durner/Franz-Joseph Peine/Foroud Shirvani (Hrsg.), Freiheit und Sicherheit in Deutschland und Europa, Festschrift für Hans-Jürgen Papier zum 70. Geburtstag, Berlin 2013, S. 195-203.</w:t>
      </w:r>
    </w:p>
    <w:p w14:paraId="72F3BEE2" w14:textId="77777777" w:rsidR="00982FC6" w:rsidRDefault="00982FC6" w:rsidP="00982FC6">
      <w:pPr>
        <w:pStyle w:val="FarbigeListe-Akzent11"/>
        <w:rPr>
          <w:sz w:val="22"/>
          <w:szCs w:val="22"/>
        </w:rPr>
      </w:pPr>
    </w:p>
    <w:p w14:paraId="0BEEEB20" w14:textId="77777777" w:rsidR="00982FC6" w:rsidRDefault="00982FC6" w:rsidP="00982FC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982FC6">
        <w:rPr>
          <w:sz w:val="22"/>
          <w:szCs w:val="22"/>
        </w:rPr>
        <w:t>Die intergouvernementale Grundlage der europäischen Fiskalunion, in: Thomas von Danwitz u.a., Aktuelle Herausforderungen für den Unionsrichter. 6. Luxemburger Expertenforum zur Ent</w:t>
      </w:r>
      <w:r>
        <w:rPr>
          <w:sz w:val="22"/>
          <w:szCs w:val="22"/>
        </w:rPr>
        <w:t>wicklung des Unionsrechts, 12. u</w:t>
      </w:r>
      <w:r w:rsidRPr="00982FC6">
        <w:rPr>
          <w:sz w:val="22"/>
          <w:szCs w:val="22"/>
        </w:rPr>
        <w:t xml:space="preserve">nd 13. November 2012, 2013, </w:t>
      </w:r>
    </w:p>
    <w:p w14:paraId="67BEEA63" w14:textId="77777777" w:rsidR="00982FC6" w:rsidRPr="00982FC6" w:rsidRDefault="00982FC6" w:rsidP="00982FC6">
      <w:pPr>
        <w:spacing w:line="320" w:lineRule="exact"/>
        <w:ind w:firstLine="708"/>
        <w:rPr>
          <w:sz w:val="22"/>
          <w:szCs w:val="22"/>
        </w:rPr>
      </w:pPr>
      <w:r w:rsidRPr="00982FC6">
        <w:rPr>
          <w:sz w:val="22"/>
          <w:szCs w:val="22"/>
        </w:rPr>
        <w:t>S. 17-26.</w:t>
      </w:r>
    </w:p>
    <w:p w14:paraId="2232C7E9" w14:textId="77777777" w:rsidR="00982FC6" w:rsidRPr="00982FC6" w:rsidRDefault="00982FC6" w:rsidP="00982FC6">
      <w:pPr>
        <w:spacing w:line="320" w:lineRule="exact"/>
        <w:ind w:left="720"/>
        <w:rPr>
          <w:sz w:val="22"/>
          <w:szCs w:val="22"/>
        </w:rPr>
      </w:pPr>
    </w:p>
    <w:p w14:paraId="112BF75C" w14:textId="77777777" w:rsidR="00982FC6" w:rsidRDefault="00982FC6" w:rsidP="00982FC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982FC6">
        <w:rPr>
          <w:sz w:val="22"/>
          <w:szCs w:val="22"/>
        </w:rPr>
        <w:t>Bewahrung und Erneuerung des Nationalstaa</w:t>
      </w:r>
      <w:r>
        <w:rPr>
          <w:sz w:val="22"/>
          <w:szCs w:val="22"/>
        </w:rPr>
        <w:t>t</w:t>
      </w:r>
      <w:r w:rsidRPr="00982FC6">
        <w:rPr>
          <w:sz w:val="22"/>
          <w:szCs w:val="22"/>
        </w:rPr>
        <w:t>s im Lichte der Eu</w:t>
      </w:r>
      <w:r>
        <w:rPr>
          <w:sz w:val="22"/>
          <w:szCs w:val="22"/>
        </w:rPr>
        <w:t>ropäischen Einigung, in: Christi</w:t>
      </w:r>
      <w:r w:rsidRPr="00982FC6">
        <w:rPr>
          <w:sz w:val="22"/>
          <w:szCs w:val="22"/>
        </w:rPr>
        <w:t>an Wagner (H</w:t>
      </w:r>
      <w:r>
        <w:rPr>
          <w:sz w:val="22"/>
          <w:szCs w:val="22"/>
        </w:rPr>
        <w:t>rs</w:t>
      </w:r>
      <w:r w:rsidRPr="00982FC6">
        <w:rPr>
          <w:sz w:val="22"/>
          <w:szCs w:val="22"/>
        </w:rPr>
        <w:t>g.), Was uns leitet – Eine Kultur der Bewahrung und Erneuerun</w:t>
      </w:r>
      <w:r>
        <w:rPr>
          <w:sz w:val="22"/>
          <w:szCs w:val="22"/>
        </w:rPr>
        <w:t>g, 2014</w:t>
      </w:r>
      <w:r w:rsidRPr="00982FC6">
        <w:rPr>
          <w:sz w:val="22"/>
          <w:szCs w:val="22"/>
        </w:rPr>
        <w:t>, S. 45-64.</w:t>
      </w:r>
    </w:p>
    <w:p w14:paraId="5EBD435C" w14:textId="77777777" w:rsidR="00CF7DDE" w:rsidRDefault="00CF7DDE" w:rsidP="00CF7DDE">
      <w:pPr>
        <w:pStyle w:val="FarbigeListe-Akzent11"/>
        <w:rPr>
          <w:sz w:val="22"/>
          <w:szCs w:val="22"/>
        </w:rPr>
      </w:pPr>
    </w:p>
    <w:p w14:paraId="1DCE1071" w14:textId="77777777" w:rsidR="00CF7DDE" w:rsidRDefault="00CF7DDE" w:rsidP="00982FC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Der öffentliche Dienst in Deutschland nach der Föderalismusreform, in: Österreichische Verwaltungswissenschaftliche Gesellschaft (Hrsg.), Wirkungsorientierte Verwaltung und Öffentlicher Dienst (Gesammelte Vorträge), S. 253-272, Graz 2013 (zusammen mit Anna-Bettina Kaiser).</w:t>
      </w:r>
    </w:p>
    <w:p w14:paraId="055987BC" w14:textId="77777777" w:rsidR="00A44436" w:rsidRDefault="00A44436" w:rsidP="00A44436">
      <w:pPr>
        <w:pStyle w:val="FarbigeListe-Akzent11"/>
        <w:rPr>
          <w:sz w:val="22"/>
          <w:szCs w:val="22"/>
        </w:rPr>
      </w:pPr>
    </w:p>
    <w:p w14:paraId="56B8F21D" w14:textId="77777777" w:rsidR="00A44436" w:rsidRPr="00A44436" w:rsidRDefault="00A44436" w:rsidP="00A4443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A44436">
        <w:rPr>
          <w:sz w:val="22"/>
          <w:szCs w:val="22"/>
        </w:rPr>
        <w:t>Wie nachhaltig ist das Grundgesetz?, in: Friedrich Dencker/Gregor Galke/Andreas Voßkuhle (Hrsg), Festschrift für Klaus Tolksdorf, Köln 2014, S. 585-594</w:t>
      </w:r>
      <w:r w:rsidR="00D17C0D">
        <w:rPr>
          <w:sz w:val="22"/>
          <w:szCs w:val="22"/>
        </w:rPr>
        <w:t>.</w:t>
      </w:r>
    </w:p>
    <w:p w14:paraId="102D32EE" w14:textId="77777777" w:rsidR="00A44436" w:rsidRDefault="00A44436" w:rsidP="00A44436">
      <w:pPr>
        <w:pStyle w:val="FarbigeListe-Akzent11"/>
        <w:rPr>
          <w:sz w:val="22"/>
          <w:szCs w:val="22"/>
        </w:rPr>
      </w:pPr>
    </w:p>
    <w:p w14:paraId="3107999F" w14:textId="77777777" w:rsidR="00A44436" w:rsidRPr="00A44436" w:rsidRDefault="00A44436" w:rsidP="00A4443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A44436">
        <w:rPr>
          <w:sz w:val="22"/>
          <w:szCs w:val="22"/>
        </w:rPr>
        <w:t>Staatsaufgabe Infrastruktur, in: Mathias Habersack/Karl Huber/Gerald Spindler (Hrsg.), Festschrift für Eberhard Stil</w:t>
      </w:r>
      <w:r w:rsidR="001460B6">
        <w:rPr>
          <w:sz w:val="22"/>
          <w:szCs w:val="22"/>
        </w:rPr>
        <w:t>z</w:t>
      </w:r>
      <w:r w:rsidRPr="00A44436">
        <w:rPr>
          <w:sz w:val="22"/>
          <w:szCs w:val="22"/>
        </w:rPr>
        <w:t xml:space="preserve"> zum 65. Geburtstag, München 2014, S. 675-688.</w:t>
      </w:r>
    </w:p>
    <w:p w14:paraId="0B9D3558" w14:textId="77777777" w:rsidR="00A44436" w:rsidRDefault="00A44436" w:rsidP="00A44436">
      <w:pPr>
        <w:pStyle w:val="FarbigeListe-Akzent11"/>
        <w:rPr>
          <w:sz w:val="22"/>
          <w:szCs w:val="22"/>
        </w:rPr>
      </w:pPr>
    </w:p>
    <w:p w14:paraId="02B05325" w14:textId="77777777" w:rsidR="00A44436" w:rsidRPr="00906538" w:rsidRDefault="00A44436" w:rsidP="00A4443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  <w:lang w:val="en-US"/>
        </w:rPr>
      </w:pPr>
      <w:r w:rsidRPr="00A44436">
        <w:rPr>
          <w:sz w:val="22"/>
          <w:szCs w:val="22"/>
        </w:rPr>
        <w:t>Pyramide oder Mobile? – Menschenrechtsschutz durch die europäischen Verfassungsgeric</w:t>
      </w:r>
      <w:r w:rsidR="00906538">
        <w:rPr>
          <w:sz w:val="22"/>
          <w:szCs w:val="22"/>
        </w:rPr>
        <w:t xml:space="preserve">hte, in: EuGRZ 2014, S. 165-167 </w:t>
      </w:r>
      <w:r w:rsidR="00906538" w:rsidRPr="00906538">
        <w:rPr>
          <w:sz w:val="22"/>
          <w:szCs w:val="22"/>
        </w:rPr>
        <w:t xml:space="preserve">= Pyramid or Mobile? </w:t>
      </w:r>
      <w:r w:rsidR="00906538" w:rsidRPr="00906538">
        <w:rPr>
          <w:sz w:val="22"/>
          <w:szCs w:val="22"/>
          <w:lang w:val="en-US"/>
        </w:rPr>
        <w:t xml:space="preserve">Human Rights Protection by the European Constitutional Courts, Human Rights Law Journal 2014, S. </w:t>
      </w:r>
      <w:r w:rsidR="00906538">
        <w:rPr>
          <w:sz w:val="22"/>
          <w:szCs w:val="22"/>
          <w:lang w:val="en-US"/>
        </w:rPr>
        <w:t>1-3.</w:t>
      </w:r>
    </w:p>
    <w:p w14:paraId="417264B8" w14:textId="77777777" w:rsidR="00A44436" w:rsidRPr="00906538" w:rsidRDefault="00A44436" w:rsidP="00A44436">
      <w:pPr>
        <w:pStyle w:val="FarbigeListe-Akzent11"/>
        <w:rPr>
          <w:sz w:val="22"/>
          <w:szCs w:val="22"/>
          <w:lang w:val="en-US"/>
        </w:rPr>
      </w:pPr>
    </w:p>
    <w:p w14:paraId="5C8EBC1D" w14:textId="77777777" w:rsidR="00A44436" w:rsidRDefault="00A44436" w:rsidP="00A44436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057B0A">
        <w:rPr>
          <w:sz w:val="22"/>
          <w:szCs w:val="22"/>
        </w:rPr>
        <w:t>Leitideen des Staatsorganisationsrec</w:t>
      </w:r>
      <w:r w:rsidRPr="00A44436">
        <w:rPr>
          <w:sz w:val="22"/>
          <w:szCs w:val="22"/>
        </w:rPr>
        <w:t>hts, in: Hanno Kube u.a. (Hrsg.), Die Leitgedanken des Rechts in der Diskussion. Symposion aus Anlass des 70. Geburtstages von Paul Kirchhof, Heidelberg 2014, S. 5-35.</w:t>
      </w:r>
    </w:p>
    <w:p w14:paraId="6AD38A23" w14:textId="77777777" w:rsidR="00E36DFE" w:rsidRDefault="00E36DFE" w:rsidP="00E36DFE">
      <w:pPr>
        <w:pStyle w:val="FarbigeListe-Akzent11"/>
        <w:rPr>
          <w:sz w:val="22"/>
          <w:szCs w:val="22"/>
        </w:rPr>
      </w:pPr>
    </w:p>
    <w:p w14:paraId="5067463E" w14:textId="77777777" w:rsidR="00E36DFE" w:rsidRPr="00E36DFE" w:rsidRDefault="00E36DFE" w:rsidP="00E36DFE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E36DFE">
        <w:rPr>
          <w:sz w:val="22"/>
          <w:szCs w:val="22"/>
        </w:rPr>
        <w:t>Das Bundessozialgericht unter dem Grundgesetz - Errichtung und verfassungsrechtliche Garantien, in: Peter Masuch u.a. (Hrsg), Grundlagen und Herausforderungen des Sozialstaats. Denkschrift 60 Jahre Bundessozialgericht., Bd. 1, Berlin 2014, S. 283-295 (zusammen mit Johannes Gerberding).</w:t>
      </w:r>
    </w:p>
    <w:p w14:paraId="24FE9729" w14:textId="77777777" w:rsidR="00E36DFE" w:rsidRDefault="00E36DFE" w:rsidP="00E36DFE">
      <w:pPr>
        <w:pStyle w:val="FarbigeListe-Akzent11"/>
        <w:rPr>
          <w:sz w:val="22"/>
          <w:szCs w:val="22"/>
        </w:rPr>
      </w:pPr>
    </w:p>
    <w:p w14:paraId="55F9C32E" w14:textId="77777777" w:rsidR="00BD5185" w:rsidRDefault="00E36DFE" w:rsidP="00BD5185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 w:rsidRPr="00E36DFE">
        <w:rPr>
          <w:sz w:val="22"/>
          <w:szCs w:val="22"/>
        </w:rPr>
        <w:t>Opposition im Europäischen Parlament, in: Ulrich Becker u.a. (Hrsg.), Verfassung und Verwaltung in Europa, Festschrift für Jürgen Schwarz</w:t>
      </w:r>
      <w:r w:rsidR="00BD5185">
        <w:rPr>
          <w:sz w:val="22"/>
          <w:szCs w:val="22"/>
        </w:rPr>
        <w:t>e, Baden-Baden 2014, S. 283-303.</w:t>
      </w:r>
    </w:p>
    <w:p w14:paraId="69C199E5" w14:textId="77777777" w:rsidR="000C1AD8" w:rsidRDefault="000C1AD8" w:rsidP="000C1AD8">
      <w:pPr>
        <w:spacing w:line="320" w:lineRule="exact"/>
        <w:rPr>
          <w:sz w:val="22"/>
          <w:szCs w:val="22"/>
        </w:rPr>
      </w:pPr>
    </w:p>
    <w:p w14:paraId="4339CC65" w14:textId="77777777" w:rsidR="000C1AD8" w:rsidRDefault="000C1AD8" w:rsidP="00BD5185">
      <w:pPr>
        <w:numPr>
          <w:ilvl w:val="0"/>
          <w:numId w:val="2"/>
        </w:numPr>
        <w:tabs>
          <w:tab w:val="clear" w:pos="720"/>
        </w:tabs>
        <w:spacing w:line="320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Die Rolle der nationalen Gerichte im Europarecht, in: Stefan Leible/Jörg P. Terhechte (Hrsg.), Europäisches Rechtsschutz</w:t>
      </w:r>
      <w:r w:rsidR="00D17C0D">
        <w:rPr>
          <w:sz w:val="22"/>
          <w:szCs w:val="22"/>
        </w:rPr>
        <w:t>-</w:t>
      </w:r>
      <w:r>
        <w:rPr>
          <w:sz w:val="22"/>
          <w:szCs w:val="22"/>
        </w:rPr>
        <w:t xml:space="preserve"> und Verfahrensrecht, Nomos Verlag, Baden-Baden 2014, S. 153-170 (zusammen mit Moritz Lange)</w:t>
      </w:r>
      <w:r w:rsidR="00F33EBA">
        <w:rPr>
          <w:sz w:val="22"/>
          <w:szCs w:val="22"/>
        </w:rPr>
        <w:t>.</w:t>
      </w:r>
    </w:p>
    <w:p w14:paraId="1B630F3E" w14:textId="77777777" w:rsidR="00BD5185" w:rsidRDefault="00BD5185" w:rsidP="00BD5185">
      <w:pPr>
        <w:spacing w:line="320" w:lineRule="exact"/>
        <w:ind w:left="720"/>
        <w:rPr>
          <w:sz w:val="22"/>
          <w:szCs w:val="22"/>
        </w:rPr>
      </w:pPr>
    </w:p>
    <w:p w14:paraId="424C7B1D" w14:textId="77777777" w:rsidR="00BD5185" w:rsidRDefault="00BD5185" w:rsidP="003C24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101.</w:t>
      </w:r>
      <w:r>
        <w:rPr>
          <w:sz w:val="22"/>
          <w:szCs w:val="22"/>
        </w:rPr>
        <w:tab/>
      </w:r>
      <w:r w:rsidRPr="00BD5185">
        <w:rPr>
          <w:sz w:val="22"/>
          <w:szCs w:val="22"/>
        </w:rPr>
        <w:t xml:space="preserve">Das Bundesverfassungsgericht und der Gesetzgeber, in: Trybunal Konsttytucyjny (Hrsg.), </w:t>
      </w:r>
      <w:r>
        <w:rPr>
          <w:sz w:val="22"/>
          <w:szCs w:val="22"/>
        </w:rPr>
        <w:tab/>
      </w:r>
      <w:r w:rsidRPr="00BD5185">
        <w:rPr>
          <w:sz w:val="22"/>
          <w:szCs w:val="22"/>
        </w:rPr>
        <w:t xml:space="preserve">Wyklady W Trybunale Konstytucyjnym Z Lat 2011-2012, Warschau 2014, S. 231-243 </w:t>
      </w:r>
      <w:r>
        <w:rPr>
          <w:sz w:val="22"/>
          <w:szCs w:val="22"/>
        </w:rPr>
        <w:tab/>
      </w:r>
      <w:r w:rsidRPr="00BD5185">
        <w:rPr>
          <w:sz w:val="22"/>
          <w:szCs w:val="22"/>
        </w:rPr>
        <w:t>(polnische Übersetzung S. 217-229</w:t>
      </w:r>
      <w:r>
        <w:rPr>
          <w:sz w:val="22"/>
          <w:szCs w:val="22"/>
        </w:rPr>
        <w:t>)</w:t>
      </w:r>
      <w:r w:rsidRPr="00BD5185">
        <w:rPr>
          <w:sz w:val="22"/>
          <w:szCs w:val="22"/>
        </w:rPr>
        <w:t>.</w:t>
      </w:r>
    </w:p>
    <w:p w14:paraId="0B1BED37" w14:textId="77777777" w:rsidR="000659C2" w:rsidRDefault="000659C2" w:rsidP="003C2449">
      <w:pPr>
        <w:spacing w:line="360" w:lineRule="auto"/>
        <w:rPr>
          <w:sz w:val="22"/>
          <w:szCs w:val="22"/>
        </w:rPr>
      </w:pPr>
    </w:p>
    <w:p w14:paraId="49681D1D" w14:textId="77777777" w:rsidR="000659C2" w:rsidRDefault="000659C2" w:rsidP="000659C2">
      <w:pPr>
        <w:spacing w:line="360" w:lineRule="auto"/>
        <w:ind w:left="708" w:hanging="708"/>
        <w:rPr>
          <w:sz w:val="22"/>
          <w:szCs w:val="22"/>
        </w:rPr>
      </w:pPr>
      <w:r>
        <w:rPr>
          <w:sz w:val="22"/>
          <w:szCs w:val="22"/>
        </w:rPr>
        <w:t>102.</w:t>
      </w:r>
      <w:r>
        <w:rPr>
          <w:sz w:val="22"/>
          <w:szCs w:val="22"/>
        </w:rPr>
        <w:tab/>
        <w:t>Die europäische Integration und das Bundesverfassungsgericht, in: Juristische Studiengesellschaft (Hrsg.), Jahresband 2014, 2015, S. 207-223.</w:t>
      </w:r>
    </w:p>
    <w:p w14:paraId="3A31BBF9" w14:textId="77777777" w:rsidR="003C2449" w:rsidRDefault="003C2449" w:rsidP="003C2449">
      <w:pPr>
        <w:spacing w:line="360" w:lineRule="auto"/>
        <w:rPr>
          <w:sz w:val="22"/>
          <w:szCs w:val="22"/>
        </w:rPr>
      </w:pPr>
    </w:p>
    <w:p w14:paraId="21052284" w14:textId="18BE22EF" w:rsidR="003C2449" w:rsidRDefault="000659C2" w:rsidP="003C2449">
      <w:pPr>
        <w:spacing w:line="360" w:lineRule="auto"/>
        <w:ind w:left="700" w:hanging="700"/>
        <w:rPr>
          <w:sz w:val="22"/>
          <w:szCs w:val="22"/>
        </w:rPr>
      </w:pPr>
      <w:r>
        <w:rPr>
          <w:sz w:val="22"/>
          <w:szCs w:val="22"/>
        </w:rPr>
        <w:t>103</w:t>
      </w:r>
      <w:r w:rsidR="003C2449">
        <w:rPr>
          <w:sz w:val="22"/>
          <w:szCs w:val="22"/>
        </w:rPr>
        <w:t>.</w:t>
      </w:r>
      <w:r w:rsidR="003C2449">
        <w:rPr>
          <w:sz w:val="22"/>
          <w:szCs w:val="22"/>
        </w:rPr>
        <w:tab/>
        <w:t>Der Jurist im Kontext. Peter Häberle zum 80. Geburtstag, JöR 63 n.F. (2015), S. 401</w:t>
      </w:r>
      <w:r w:rsidR="004A7320">
        <w:rPr>
          <w:sz w:val="22"/>
          <w:szCs w:val="22"/>
        </w:rPr>
        <w:t>-428 (zusammen mit Thomas Wisch</w:t>
      </w:r>
      <w:r w:rsidR="003C2449">
        <w:rPr>
          <w:sz w:val="22"/>
          <w:szCs w:val="22"/>
        </w:rPr>
        <w:t>meyer)</w:t>
      </w:r>
      <w:r w:rsidR="003356EF">
        <w:rPr>
          <w:sz w:val="22"/>
          <w:szCs w:val="22"/>
        </w:rPr>
        <w:t xml:space="preserve">; auch abgedruckt in: Robert Chr. van Ooyen/Martin H. W. Möllers (Hrsg), Verfassungs-Kultur. Staat, Europa und pluralistische Gesellschaft bei Peter Häberle, Baden-Baden 2016, S. 39-72. </w:t>
      </w:r>
      <w:r w:rsidR="003358F8">
        <w:rPr>
          <w:sz w:val="22"/>
          <w:szCs w:val="22"/>
        </w:rPr>
        <w:t>Japanische Übersetzung  in: Jichikenkyu (Archiv der Kommunalwissenschaft) Bd. 94, Nr. 4, S. 17-31</w:t>
      </w:r>
      <w:r w:rsidR="009E2B28">
        <w:rPr>
          <w:sz w:val="22"/>
          <w:szCs w:val="22"/>
        </w:rPr>
        <w:t>; Italienische Übersetzung in: Lo Stato Nr. 10 (2018), S. 163-194</w:t>
      </w:r>
      <w:r w:rsidR="003358F8">
        <w:rPr>
          <w:sz w:val="22"/>
          <w:szCs w:val="22"/>
        </w:rPr>
        <w:t>.</w:t>
      </w:r>
    </w:p>
    <w:p w14:paraId="5D09DA5F" w14:textId="77777777" w:rsidR="009D0CC6" w:rsidRDefault="009D0CC6" w:rsidP="003C2449">
      <w:pPr>
        <w:spacing w:line="360" w:lineRule="auto"/>
        <w:ind w:left="700" w:hanging="700"/>
        <w:rPr>
          <w:sz w:val="22"/>
          <w:szCs w:val="22"/>
        </w:rPr>
      </w:pPr>
    </w:p>
    <w:p w14:paraId="5E0B6619" w14:textId="77777777" w:rsidR="009D0CC6" w:rsidRDefault="000659C2" w:rsidP="003C2449">
      <w:pPr>
        <w:spacing w:line="360" w:lineRule="auto"/>
        <w:ind w:left="700" w:hanging="700"/>
        <w:rPr>
          <w:sz w:val="22"/>
          <w:szCs w:val="22"/>
        </w:rPr>
      </w:pPr>
      <w:r>
        <w:rPr>
          <w:sz w:val="22"/>
          <w:szCs w:val="22"/>
        </w:rPr>
        <w:t>104</w:t>
      </w:r>
      <w:r w:rsidR="009D0CC6">
        <w:rPr>
          <w:sz w:val="22"/>
          <w:szCs w:val="22"/>
        </w:rPr>
        <w:t>.</w:t>
      </w:r>
      <w:r w:rsidR="009D0CC6">
        <w:rPr>
          <w:sz w:val="22"/>
          <w:szCs w:val="22"/>
        </w:rPr>
        <w:tab/>
        <w:t>Europa als Rechtsgemeinschaft?! Gefährdungen und Herausforderungen, in: Günter Stock/Christoph Markschies/Susanne Hauer (Hrsg.), Zukunftsort: Europa, Berlin/Boston, 2015, S. 135-148.</w:t>
      </w:r>
    </w:p>
    <w:p w14:paraId="7658A306" w14:textId="77777777" w:rsidR="000659C2" w:rsidRDefault="000659C2" w:rsidP="003C2449">
      <w:pPr>
        <w:spacing w:line="360" w:lineRule="auto"/>
        <w:ind w:left="700" w:hanging="700"/>
        <w:rPr>
          <w:sz w:val="22"/>
          <w:szCs w:val="22"/>
        </w:rPr>
      </w:pPr>
    </w:p>
    <w:p w14:paraId="41730422" w14:textId="77777777" w:rsidR="000659C2" w:rsidRPr="00BD5185" w:rsidRDefault="000659C2" w:rsidP="003C2449">
      <w:pPr>
        <w:spacing w:line="360" w:lineRule="auto"/>
        <w:ind w:left="700" w:hanging="700"/>
        <w:rPr>
          <w:sz w:val="22"/>
          <w:szCs w:val="22"/>
        </w:rPr>
      </w:pPr>
      <w:r>
        <w:rPr>
          <w:sz w:val="22"/>
          <w:szCs w:val="22"/>
        </w:rPr>
        <w:t>105.</w:t>
      </w:r>
      <w:r>
        <w:rPr>
          <w:sz w:val="22"/>
          <w:szCs w:val="22"/>
        </w:rPr>
        <w:tab/>
        <w:t>Die Rechtsprechung des Bundesverfassungsgerichts zu Rettungsmaßnahmen in der europäischen Staatsschuldenkrise, in: Armin Hatje/Constantinos Iliopoulos/Julia Iliopoulos-Strangas/Jörn Axel Kämmerer (Hrsg.), Verantwortung und Solidarität in der Europäischen Union. Ein deutsch-griechischer Rechtsdialog, Baden-Baden, 2015, S. 135-148.</w:t>
      </w:r>
    </w:p>
    <w:p w14:paraId="74725601" w14:textId="77777777" w:rsidR="004607D1" w:rsidRDefault="004607D1" w:rsidP="003C2449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615A5368" w14:textId="77777777" w:rsidR="005F04D8" w:rsidRDefault="005F04D8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106.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Menschenrechtsschutz durch die Europäischen Verfassungsgerichte, in: RdA 2015, S. 336-343.</w:t>
      </w:r>
    </w:p>
    <w:p w14:paraId="613E9E1D" w14:textId="77777777" w:rsidR="0018608D" w:rsidRDefault="0018608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3A449680" w14:textId="77777777" w:rsidR="0018608D" w:rsidRPr="00794176" w:rsidRDefault="0018608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107.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„Integration durch Recht“ - Der Beitrag des Bundesverfassungsgerichts, JZ 2016, S. 161-168.</w:t>
      </w:r>
      <w:r w:rsidR="003356EF">
        <w:rPr>
          <w:sz w:val="22"/>
          <w:szCs w:val="22"/>
        </w:rPr>
        <w:t xml:space="preserve"> </w:t>
      </w:r>
      <w:r w:rsidR="003356EF" w:rsidRPr="00FC392A">
        <w:rPr>
          <w:sz w:val="22"/>
          <w:szCs w:val="22"/>
          <w:lang w:val="en-US"/>
        </w:rPr>
        <w:t>= „European Integration T</w:t>
      </w:r>
      <w:r w:rsidR="004A7320" w:rsidRPr="00FC392A">
        <w:rPr>
          <w:sz w:val="22"/>
          <w:szCs w:val="22"/>
          <w:lang w:val="en-US"/>
        </w:rPr>
        <w:t>hrough Law“ The Contribution of</w:t>
      </w:r>
      <w:r w:rsidR="003356EF" w:rsidRPr="00FC392A">
        <w:rPr>
          <w:sz w:val="22"/>
          <w:szCs w:val="22"/>
          <w:lang w:val="en-US"/>
        </w:rPr>
        <w:t xml:space="preserve"> </w:t>
      </w:r>
      <w:r w:rsidR="00656A30" w:rsidRPr="00FC392A">
        <w:rPr>
          <w:sz w:val="22"/>
          <w:szCs w:val="22"/>
          <w:lang w:val="en-US"/>
        </w:rPr>
        <w:t>t</w:t>
      </w:r>
      <w:r w:rsidR="003356EF" w:rsidRPr="00FC392A">
        <w:rPr>
          <w:sz w:val="22"/>
          <w:szCs w:val="22"/>
          <w:lang w:val="en-US"/>
        </w:rPr>
        <w:t>he Federal Constitutional Court, European Journal of Sociol</w:t>
      </w:r>
      <w:r w:rsidR="00C14B57" w:rsidRPr="00FC392A">
        <w:rPr>
          <w:sz w:val="22"/>
          <w:szCs w:val="22"/>
          <w:lang w:val="en-US"/>
        </w:rPr>
        <w:t>ogy, Vol. 58 (2017), p. 145-168 = „La Integración Europea a través del derrecho“. La contribución del tribunal constitucional federal (Alemán), in: Theoría y Realidad Constitucional, núm. 39 (2017), pp 103-121.</w:t>
      </w:r>
      <w:r w:rsidR="008B1668">
        <w:rPr>
          <w:sz w:val="22"/>
          <w:szCs w:val="22"/>
          <w:lang w:val="en-US"/>
        </w:rPr>
        <w:t xml:space="preserve"> </w:t>
      </w:r>
      <w:r w:rsidR="008B1668" w:rsidRPr="00794176">
        <w:rPr>
          <w:sz w:val="22"/>
          <w:szCs w:val="22"/>
        </w:rPr>
        <w:t xml:space="preserve">=  Übersetzung in die Griechische Sprache </w:t>
      </w:r>
    </w:p>
    <w:p w14:paraId="744E8FC7" w14:textId="77777777" w:rsidR="0018608D" w:rsidRPr="00794176" w:rsidRDefault="008B1668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 w:rsidRPr="00794176">
        <w:rPr>
          <w:sz w:val="22"/>
          <w:szCs w:val="22"/>
        </w:rPr>
        <w:t xml:space="preserve"> </w:t>
      </w:r>
    </w:p>
    <w:p w14:paraId="04EEB8FC" w14:textId="77777777" w:rsidR="0018608D" w:rsidRDefault="0018608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108.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Verfassung und Parlamentarismus, BayVBl. 2016, S. 289-300.</w:t>
      </w:r>
    </w:p>
    <w:p w14:paraId="553B6068" w14:textId="77777777" w:rsidR="007D5FAC" w:rsidRDefault="007D5FAC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61EE4CD9" w14:textId="77777777" w:rsidR="007D5FAC" w:rsidRDefault="007D5FAC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109.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Solidarität als Rechtspflicht?, in: Volker Bouffier/Hans-Detlef Horn/Roman Poseck, Henning Radtke/Christoph Saferling (Hrsg.), Grundgesetz und Europa. Liber Amicorum für Herbert Landau zum Ausscheiden aus dem Bundesverfassung</w:t>
      </w:r>
      <w:r w:rsidR="00D17C0D">
        <w:rPr>
          <w:sz w:val="22"/>
          <w:szCs w:val="22"/>
        </w:rPr>
        <w:t>sgericht, Tübingen 2016, S. 145</w:t>
      </w:r>
      <w:r>
        <w:rPr>
          <w:sz w:val="22"/>
          <w:szCs w:val="22"/>
        </w:rPr>
        <w:t>-158</w:t>
      </w:r>
      <w:r w:rsidR="00656A30">
        <w:rPr>
          <w:sz w:val="22"/>
          <w:szCs w:val="22"/>
        </w:rPr>
        <w:t>.</w:t>
      </w:r>
    </w:p>
    <w:p w14:paraId="0E06FD39" w14:textId="77777777" w:rsidR="00656A30" w:rsidRDefault="00656A30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3D2D25C2" w14:textId="77777777" w:rsidR="00656A30" w:rsidRDefault="00656A30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110.</w:t>
      </w:r>
      <w:r>
        <w:rPr>
          <w:sz w:val="22"/>
          <w:szCs w:val="22"/>
        </w:rPr>
        <w:tab/>
      </w:r>
      <w:r w:rsidR="004A7320">
        <w:rPr>
          <w:sz w:val="22"/>
          <w:szCs w:val="22"/>
        </w:rPr>
        <w:tab/>
      </w:r>
      <w:r>
        <w:rPr>
          <w:sz w:val="22"/>
          <w:szCs w:val="22"/>
        </w:rPr>
        <w:t>Auf dem Weg zur Online-Demokratie – Bringt Digitalisierung mehr Demokratie?, in: Ludwig K. Adamovich/Bernd-Christian Funk/Kerstin Holzinger/Stefan Leo Frank (Hrsg.), Festschrift für Gerhart Holzinger, Wien 2017, S. 767-783.</w:t>
      </w:r>
    </w:p>
    <w:p w14:paraId="080E6A35" w14:textId="77777777" w:rsidR="00D803F2" w:rsidRDefault="00D803F2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2C0D27DB" w14:textId="77777777" w:rsidR="00D803F2" w:rsidRPr="00A67D06" w:rsidRDefault="00D803F2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 w:rsidRPr="00FC392A">
        <w:rPr>
          <w:sz w:val="22"/>
          <w:szCs w:val="22"/>
          <w:lang w:val="en-US"/>
        </w:rPr>
        <w:t>111.</w:t>
      </w:r>
      <w:r w:rsidRPr="00FC392A">
        <w:rPr>
          <w:sz w:val="22"/>
          <w:szCs w:val="22"/>
          <w:lang w:val="en-US"/>
        </w:rPr>
        <w:tab/>
      </w:r>
      <w:r w:rsidRPr="00FC392A">
        <w:rPr>
          <w:sz w:val="22"/>
          <w:szCs w:val="22"/>
          <w:lang w:val="en-US"/>
        </w:rPr>
        <w:tab/>
        <w:t xml:space="preserve">The ´Neue Verwaltungsrechtswissenschaft` Against the Backdrop of Traditional Administrativ Law Scholarship in Germany, in: Susan Rose-Ackermann/Peter Lindseth (eds.), Comparative Administrativ Law, 2nd. </w:t>
      </w:r>
      <w:r w:rsidRPr="00A67D06">
        <w:rPr>
          <w:sz w:val="22"/>
          <w:szCs w:val="22"/>
        </w:rPr>
        <w:t>Ed. Edward Elgar Publishing, 2017</w:t>
      </w:r>
      <w:r w:rsidR="00E15EB7" w:rsidRPr="00A67D06">
        <w:rPr>
          <w:sz w:val="22"/>
          <w:szCs w:val="22"/>
        </w:rPr>
        <w:t>, p. 85-101</w:t>
      </w:r>
      <w:r w:rsidRPr="00A67D06">
        <w:rPr>
          <w:sz w:val="22"/>
          <w:szCs w:val="22"/>
        </w:rPr>
        <w:t xml:space="preserve"> (zusammen mit Thomas Wischmeyer).</w:t>
      </w:r>
    </w:p>
    <w:p w14:paraId="0FBEC3AB" w14:textId="77777777" w:rsidR="00F7567D" w:rsidRPr="00A67D06" w:rsidRDefault="00F7567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2465390F" w14:textId="35AE493B" w:rsidR="00F7567D" w:rsidRDefault="00F7567D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 w:rsidRPr="00A67D06">
        <w:rPr>
          <w:sz w:val="22"/>
          <w:szCs w:val="22"/>
        </w:rPr>
        <w:t>112.</w:t>
      </w:r>
      <w:r w:rsidRPr="00A67D06">
        <w:rPr>
          <w:sz w:val="22"/>
          <w:szCs w:val="22"/>
        </w:rPr>
        <w:tab/>
      </w:r>
      <w:r w:rsidRPr="00A67D06">
        <w:rPr>
          <w:sz w:val="22"/>
          <w:szCs w:val="22"/>
        </w:rPr>
        <w:tab/>
      </w:r>
      <w:r>
        <w:rPr>
          <w:sz w:val="22"/>
          <w:szCs w:val="22"/>
        </w:rPr>
        <w:t xml:space="preserve">Demokratie und Populismus, in: DER STAAT 57 (2018), S. </w:t>
      </w:r>
      <w:r w:rsidR="00613062">
        <w:rPr>
          <w:sz w:val="22"/>
          <w:szCs w:val="22"/>
        </w:rPr>
        <w:t>119-134 = Democracia e populismo, in: DIRITTO PUBBLICO 3/2018, S. 785-804</w:t>
      </w:r>
      <w:r w:rsidR="00EE7987">
        <w:rPr>
          <w:sz w:val="22"/>
          <w:szCs w:val="22"/>
        </w:rPr>
        <w:t xml:space="preserve"> = Demokratie und Populismus. Warum Populismus mit der freiheitlichen Demokratie des Grundgesetzes unvereinbar ist, Lehren &amp; Lernen 2019, S. 4-12</w:t>
      </w:r>
      <w:r w:rsidR="00613062">
        <w:rPr>
          <w:sz w:val="22"/>
          <w:szCs w:val="22"/>
        </w:rPr>
        <w:t>.</w:t>
      </w:r>
    </w:p>
    <w:p w14:paraId="2D012AA6" w14:textId="77777777" w:rsidR="00A85B9A" w:rsidRDefault="00A85B9A" w:rsidP="005F04D8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1B4F5021" w14:textId="476F2FED" w:rsidR="00A85B9A" w:rsidRDefault="00A85B9A" w:rsidP="00A85B9A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 w:rsidRPr="007A350C">
        <w:rPr>
          <w:sz w:val="22"/>
          <w:szCs w:val="22"/>
        </w:rPr>
        <w:t xml:space="preserve">113. </w:t>
      </w:r>
      <w:r w:rsidRPr="007A350C">
        <w:rPr>
          <w:sz w:val="22"/>
          <w:szCs w:val="22"/>
        </w:rPr>
        <w:tab/>
      </w:r>
      <w:r w:rsidRPr="007A350C">
        <w:rPr>
          <w:sz w:val="22"/>
          <w:szCs w:val="22"/>
        </w:rPr>
        <w:tab/>
        <w:t xml:space="preserve">La Loi fondamentale </w:t>
      </w:r>
      <w:r w:rsidR="00A67D06">
        <w:rPr>
          <w:sz w:val="22"/>
          <w:szCs w:val="22"/>
        </w:rPr>
        <w:t>à</w:t>
      </w:r>
      <w:r w:rsidRPr="007A350C">
        <w:rPr>
          <w:sz w:val="22"/>
          <w:szCs w:val="22"/>
        </w:rPr>
        <w:t xml:space="preserve"> la lumière de la jurisprudence de la Cour constitutionelle fédérale, in: Les Nouveaux Cahiers du Conseil Constitutionnel Nr. 59 (2018), p. 57-65.</w:t>
      </w:r>
    </w:p>
    <w:p w14:paraId="4CC1B1F1" w14:textId="77777777" w:rsidR="00A85B9A" w:rsidRDefault="00A85B9A" w:rsidP="00A85B9A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3DD44DFB" w14:textId="3069CBE5" w:rsidR="00A85B9A" w:rsidRDefault="00A85B9A" w:rsidP="00A85B9A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114.</w:t>
      </w:r>
      <w:r>
        <w:rPr>
          <w:sz w:val="22"/>
          <w:szCs w:val="22"/>
        </w:rPr>
        <w:tab/>
      </w:r>
      <w:r w:rsidR="008729B8">
        <w:rPr>
          <w:sz w:val="22"/>
          <w:szCs w:val="22"/>
        </w:rPr>
        <w:tab/>
      </w:r>
      <w:r>
        <w:rPr>
          <w:sz w:val="22"/>
          <w:szCs w:val="22"/>
        </w:rPr>
        <w:t>Rechtstaat und Demokratie, NJW 2018, S. 3154-3159.</w:t>
      </w:r>
    </w:p>
    <w:p w14:paraId="14C07173" w14:textId="77777777" w:rsidR="00A85B9A" w:rsidRDefault="00A85B9A" w:rsidP="00A85B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35CD0565" w14:textId="430E04F4" w:rsidR="00A85B9A" w:rsidRDefault="00A85B9A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  <w:lang w:val="en-US"/>
        </w:rPr>
      </w:pPr>
      <w:r w:rsidRPr="00CC6A0F">
        <w:rPr>
          <w:sz w:val="22"/>
          <w:szCs w:val="22"/>
          <w:lang w:val="en-US"/>
        </w:rPr>
        <w:t>115.</w:t>
      </w:r>
      <w:r w:rsidRPr="00CC6A0F">
        <w:rPr>
          <w:sz w:val="22"/>
          <w:szCs w:val="22"/>
          <w:lang w:val="en-US"/>
        </w:rPr>
        <w:tab/>
      </w:r>
      <w:r w:rsidR="008729B8">
        <w:rPr>
          <w:sz w:val="22"/>
          <w:szCs w:val="22"/>
          <w:lang w:val="en-US"/>
        </w:rPr>
        <w:tab/>
      </w:r>
      <w:r w:rsidRPr="00CC6A0F">
        <w:rPr>
          <w:sz w:val="22"/>
          <w:szCs w:val="22"/>
          <w:lang w:val="en-US"/>
        </w:rPr>
        <w:t>European Integration and the Bundesverfassungsgericht, Sir Thomas More Lecture 2014, in: Michel-James Clifton (ed.), The Sir Thomas More Lectures 2012-2017, London</w:t>
      </w:r>
      <w:r>
        <w:rPr>
          <w:sz w:val="22"/>
          <w:szCs w:val="22"/>
          <w:lang w:val="en-US"/>
        </w:rPr>
        <w:t xml:space="preserve"> 2018</w:t>
      </w:r>
      <w:r w:rsidR="00817436">
        <w:rPr>
          <w:sz w:val="22"/>
          <w:szCs w:val="22"/>
          <w:lang w:val="en-US"/>
        </w:rPr>
        <w:t>, p</w:t>
      </w:r>
      <w:r w:rsidRPr="00CC6A0F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64-87.</w:t>
      </w:r>
      <w:r w:rsidRPr="00CC6A0F">
        <w:rPr>
          <w:sz w:val="22"/>
          <w:szCs w:val="22"/>
          <w:lang w:val="en-US"/>
        </w:rPr>
        <w:t xml:space="preserve"> </w:t>
      </w:r>
    </w:p>
    <w:p w14:paraId="6F3383EF" w14:textId="77777777" w:rsidR="00613062" w:rsidRDefault="00613062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  <w:lang w:val="en-US"/>
        </w:rPr>
      </w:pPr>
    </w:p>
    <w:p w14:paraId="26596269" w14:textId="03CA27CD" w:rsidR="00613062" w:rsidRPr="00B010F0" w:rsidRDefault="00613062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 w:rsidRPr="00B010F0">
        <w:rPr>
          <w:sz w:val="22"/>
          <w:szCs w:val="22"/>
        </w:rPr>
        <w:t>116.</w:t>
      </w:r>
      <w:r w:rsidRPr="00B010F0">
        <w:rPr>
          <w:sz w:val="22"/>
          <w:szCs w:val="22"/>
        </w:rPr>
        <w:tab/>
      </w:r>
      <w:r w:rsidRPr="00B010F0">
        <w:rPr>
          <w:sz w:val="22"/>
          <w:szCs w:val="22"/>
        </w:rPr>
        <w:tab/>
        <w:t>Der Bildungsauftrag des Grundgesetzes, APuZ  2019, S. 49-54</w:t>
      </w:r>
      <w:r w:rsidR="00EE7987" w:rsidRPr="00B010F0">
        <w:rPr>
          <w:sz w:val="22"/>
          <w:szCs w:val="22"/>
        </w:rPr>
        <w:t xml:space="preserve"> =  Der Bildungsauftrag des Grundgesetzes in: vhs (Hrsg.), 100 Jahre Volkshochschule, S. 16-29</w:t>
      </w:r>
      <w:r w:rsidRPr="00B010F0">
        <w:rPr>
          <w:sz w:val="22"/>
          <w:szCs w:val="22"/>
        </w:rPr>
        <w:t>.</w:t>
      </w:r>
    </w:p>
    <w:p w14:paraId="157FAF51" w14:textId="77777777" w:rsidR="00817436" w:rsidRPr="00B010F0" w:rsidRDefault="00817436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</w:p>
    <w:p w14:paraId="5E7565B4" w14:textId="1626145F" w:rsidR="00817436" w:rsidRPr="00B010F0" w:rsidRDefault="00817436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 w:rsidRPr="00B010F0">
        <w:rPr>
          <w:sz w:val="22"/>
          <w:szCs w:val="22"/>
        </w:rPr>
        <w:t>117.</w:t>
      </w:r>
      <w:r w:rsidRPr="00B010F0">
        <w:rPr>
          <w:sz w:val="22"/>
          <w:szCs w:val="22"/>
        </w:rPr>
        <w:tab/>
      </w:r>
      <w:r w:rsidRPr="00B010F0">
        <w:rPr>
          <w:sz w:val="22"/>
          <w:szCs w:val="22"/>
        </w:rPr>
        <w:tab/>
        <w:t>Der Wandel der Verfassung und seine Grenzen, JuS 2019, S. 417-423.</w:t>
      </w:r>
    </w:p>
    <w:p w14:paraId="7A3C1D78" w14:textId="77777777" w:rsidR="00EE7987" w:rsidRPr="00B010F0" w:rsidRDefault="00EE7987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</w:p>
    <w:p w14:paraId="6F4377E8" w14:textId="0A5BEE1B" w:rsidR="00EE7987" w:rsidRDefault="00EE7987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118.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Constitutional Court: The Dilemma of Law and Politics, OER 2018, S. 480-482.</w:t>
      </w:r>
    </w:p>
    <w:p w14:paraId="70D229CC" w14:textId="77777777" w:rsidR="00B010F0" w:rsidRDefault="00B010F0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  <w:lang w:val="en-US"/>
        </w:rPr>
      </w:pPr>
    </w:p>
    <w:p w14:paraId="4CF098FC" w14:textId="582B2738" w:rsidR="00B010F0" w:rsidRPr="00B010F0" w:rsidRDefault="00B010F0" w:rsidP="008729B8">
      <w:pPr>
        <w:tabs>
          <w:tab w:val="left" w:pos="567"/>
        </w:tabs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119.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010F0">
        <w:rPr>
          <w:sz w:val="22"/>
          <w:szCs w:val="22"/>
        </w:rPr>
        <w:t xml:space="preserve">Rechtspluralismus als Herausforderung. Zur Bedeutung des Völkerrechts und der Rechtsvergleichung in der Rechtsprechung des Bundesverfassungsgerichts, ZaöRV 79 (2019), S. </w:t>
      </w:r>
      <w:r>
        <w:rPr>
          <w:sz w:val="22"/>
          <w:szCs w:val="22"/>
        </w:rPr>
        <w:t>481-501.</w:t>
      </w:r>
      <w:r w:rsidRPr="00B010F0">
        <w:rPr>
          <w:sz w:val="22"/>
          <w:szCs w:val="22"/>
        </w:rPr>
        <w:tab/>
      </w:r>
      <w:r w:rsidRPr="00B010F0">
        <w:rPr>
          <w:sz w:val="22"/>
          <w:szCs w:val="22"/>
        </w:rPr>
        <w:tab/>
      </w:r>
    </w:p>
    <w:p w14:paraId="1554CB83" w14:textId="77777777" w:rsidR="00A85B9A" w:rsidRPr="00B010F0" w:rsidRDefault="00A85B9A" w:rsidP="00A85B9A">
      <w:pPr>
        <w:tabs>
          <w:tab w:val="left" w:pos="567"/>
        </w:tabs>
        <w:spacing w:line="360" w:lineRule="auto"/>
        <w:ind w:left="708" w:hanging="708"/>
        <w:jc w:val="both"/>
        <w:rPr>
          <w:sz w:val="22"/>
          <w:szCs w:val="22"/>
        </w:rPr>
      </w:pPr>
    </w:p>
    <w:p w14:paraId="5A4AC84B" w14:textId="77777777" w:rsidR="006C3CDE" w:rsidRPr="00B010F0" w:rsidRDefault="006C3CDE" w:rsidP="009562FE">
      <w:pPr>
        <w:tabs>
          <w:tab w:val="left" w:pos="567"/>
        </w:tabs>
        <w:spacing w:line="320" w:lineRule="exact"/>
        <w:ind w:left="709" w:hanging="709"/>
        <w:jc w:val="both"/>
        <w:rPr>
          <w:sz w:val="22"/>
          <w:szCs w:val="22"/>
        </w:rPr>
      </w:pPr>
    </w:p>
    <w:p w14:paraId="01F2C8E8" w14:textId="77777777" w:rsidR="0018608D" w:rsidRPr="00B010F0" w:rsidRDefault="0018608D" w:rsidP="009562FE">
      <w:pPr>
        <w:tabs>
          <w:tab w:val="left" w:pos="567"/>
        </w:tabs>
        <w:spacing w:line="320" w:lineRule="exact"/>
        <w:ind w:left="709" w:hanging="709"/>
        <w:jc w:val="both"/>
        <w:rPr>
          <w:sz w:val="22"/>
          <w:szCs w:val="22"/>
        </w:rPr>
      </w:pPr>
    </w:p>
    <w:p w14:paraId="3C634899" w14:textId="77777777" w:rsidR="004C2A3F" w:rsidRDefault="004C2A3F" w:rsidP="00607DC3">
      <w:pPr>
        <w:tabs>
          <w:tab w:val="left" w:pos="567"/>
        </w:tabs>
        <w:jc w:val="both"/>
        <w:rPr>
          <w:b/>
          <w:sz w:val="28"/>
        </w:rPr>
      </w:pPr>
      <w:r w:rsidRPr="00607DC3">
        <w:rPr>
          <w:b/>
          <w:sz w:val="28"/>
        </w:rPr>
        <w:t>V.</w:t>
      </w:r>
      <w:r w:rsidRPr="00607DC3">
        <w:rPr>
          <w:b/>
          <w:sz w:val="28"/>
        </w:rPr>
        <w:tab/>
        <w:t>Unselbständige dida</w:t>
      </w:r>
      <w:r>
        <w:rPr>
          <w:b/>
          <w:sz w:val="28"/>
        </w:rPr>
        <w:t>ktisch orientierte Beiträge</w:t>
      </w:r>
    </w:p>
    <w:p w14:paraId="47E4D74C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124548E" w14:textId="77777777" w:rsidR="004C2A3F" w:rsidRDefault="00370C92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Einführung </w:t>
      </w:r>
      <w:r w:rsidR="004C2A3F">
        <w:rPr>
          <w:sz w:val="22"/>
        </w:rPr>
        <w:t xml:space="preserve">in das Recht, in: </w:t>
      </w:r>
      <w:r>
        <w:rPr>
          <w:sz w:val="22"/>
        </w:rPr>
        <w:t xml:space="preserve">Wolfgang </w:t>
      </w:r>
      <w:r w:rsidR="004C2A3F">
        <w:rPr>
          <w:sz w:val="22"/>
        </w:rPr>
        <w:t>Kahl/</w:t>
      </w:r>
      <w:r>
        <w:rPr>
          <w:sz w:val="22"/>
        </w:rPr>
        <w:t xml:space="preserve">Andreas </w:t>
      </w:r>
      <w:r w:rsidR="004C2A3F">
        <w:rPr>
          <w:sz w:val="22"/>
        </w:rPr>
        <w:t>Voßkuhle (Hrsg.), Grundkurs Um</w:t>
      </w:r>
      <w:r w:rsidR="004C2A3F">
        <w:rPr>
          <w:sz w:val="22"/>
        </w:rPr>
        <w:softHyphen/>
        <w:t>weltrecht, 2. Aufl. 1998, S. 22-40.</w:t>
      </w:r>
    </w:p>
    <w:p w14:paraId="59CC8C2C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72A63DB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Grundlagen des Öffentlichen Rechts, in: </w:t>
      </w:r>
      <w:r w:rsidR="00370C92">
        <w:rPr>
          <w:sz w:val="22"/>
        </w:rPr>
        <w:t xml:space="preserve">Wolfgang </w:t>
      </w:r>
      <w:r>
        <w:rPr>
          <w:sz w:val="22"/>
        </w:rPr>
        <w:t>Kahl/</w:t>
      </w:r>
      <w:r w:rsidR="00370C92">
        <w:rPr>
          <w:sz w:val="22"/>
        </w:rPr>
        <w:t xml:space="preserve">Andreas </w:t>
      </w:r>
      <w:r>
        <w:rPr>
          <w:sz w:val="22"/>
        </w:rPr>
        <w:t>Voßkuhle (Hrsg.), Grund</w:t>
      </w:r>
      <w:r>
        <w:rPr>
          <w:sz w:val="22"/>
        </w:rPr>
        <w:softHyphen/>
        <w:t>kurs Umweltrecht, 2. Aufl. 1998, S. 41-67.</w:t>
      </w:r>
    </w:p>
    <w:p w14:paraId="5045834D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5CB0A66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Umweltverfassungsrecht, in: </w:t>
      </w:r>
      <w:r w:rsidR="00370C92">
        <w:rPr>
          <w:sz w:val="22"/>
        </w:rPr>
        <w:t xml:space="preserve">Wolfgang </w:t>
      </w:r>
      <w:r>
        <w:rPr>
          <w:sz w:val="22"/>
        </w:rPr>
        <w:t>Kahl/</w:t>
      </w:r>
      <w:r w:rsidR="00370C92">
        <w:rPr>
          <w:sz w:val="22"/>
        </w:rPr>
        <w:t xml:space="preserve">Andreas </w:t>
      </w:r>
      <w:r>
        <w:rPr>
          <w:sz w:val="22"/>
        </w:rPr>
        <w:t>Voßkuhle (Hrsg.), Grundkurs Um</w:t>
      </w:r>
      <w:r>
        <w:rPr>
          <w:sz w:val="22"/>
        </w:rPr>
        <w:softHyphen/>
        <w:t>weltrecht, 2. Aufl. 1998, S. 92-99.</w:t>
      </w:r>
    </w:p>
    <w:p w14:paraId="295AB456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7C51372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Prinzipien und Instrumente des Umweltrechts, in: </w:t>
      </w:r>
      <w:r w:rsidR="00370C92">
        <w:rPr>
          <w:sz w:val="22"/>
        </w:rPr>
        <w:t xml:space="preserve">Wolfgang </w:t>
      </w:r>
      <w:r>
        <w:rPr>
          <w:sz w:val="22"/>
        </w:rPr>
        <w:t>Kahl/</w:t>
      </w:r>
      <w:r w:rsidR="00370C92">
        <w:rPr>
          <w:sz w:val="22"/>
        </w:rPr>
        <w:t xml:space="preserve">Andreas </w:t>
      </w:r>
      <w:r>
        <w:rPr>
          <w:sz w:val="22"/>
        </w:rPr>
        <w:t>Voßkuhle (Hrsg.), Grundkurs Umweltrecht, 2. Aufl. 1998, S. 100-124.</w:t>
      </w:r>
    </w:p>
    <w:p w14:paraId="7E87CBD6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AA3BF43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Umweltorganisation, in: </w:t>
      </w:r>
      <w:r w:rsidR="00370C92">
        <w:rPr>
          <w:sz w:val="22"/>
        </w:rPr>
        <w:t xml:space="preserve">Wolfgang </w:t>
      </w:r>
      <w:r>
        <w:rPr>
          <w:sz w:val="22"/>
        </w:rPr>
        <w:t>Kahl/</w:t>
      </w:r>
      <w:r w:rsidR="00370C92">
        <w:rPr>
          <w:sz w:val="22"/>
        </w:rPr>
        <w:t xml:space="preserve">Andreas </w:t>
      </w:r>
      <w:r>
        <w:rPr>
          <w:sz w:val="22"/>
        </w:rPr>
        <w:t>Voßkuhle (Hrsg.), Grundkurs Umweltrecht, 2. Aufl. 1998, S. 125-139.</w:t>
      </w:r>
    </w:p>
    <w:p w14:paraId="36ED442F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75D868E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Grundwissen – Öffentliches Recht: Der Grundsatz des Vorbehalts des Gesetzes, in: JuS 2007, S. 118-119</w:t>
      </w:r>
      <w:r w:rsidR="00392AB2">
        <w:rPr>
          <w:sz w:val="22"/>
        </w:rPr>
        <w:t>.</w:t>
      </w:r>
    </w:p>
    <w:p w14:paraId="69FFDA5D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7690764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Grundwissen – Öffentliches Recht: Der Grundsatz der Verhältnismäßigkeit, in: JuS 2007, </w:t>
      </w:r>
      <w:r w:rsidR="00392AB2">
        <w:rPr>
          <w:sz w:val="22"/>
        </w:rPr>
        <w:br/>
      </w:r>
      <w:r>
        <w:rPr>
          <w:sz w:val="22"/>
        </w:rPr>
        <w:t>S. 429-431</w:t>
      </w:r>
      <w:r w:rsidR="00392AB2">
        <w:rPr>
          <w:sz w:val="22"/>
        </w:rPr>
        <w:t>.</w:t>
      </w:r>
    </w:p>
    <w:p w14:paraId="334D467E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6962E55" w14:textId="77777777" w:rsidR="00677820" w:rsidRDefault="00677820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Grun</w:t>
      </w:r>
      <w:r w:rsidR="00FB0B08">
        <w:rPr>
          <w:sz w:val="22"/>
        </w:rPr>
        <w:t>d</w:t>
      </w:r>
      <w:r>
        <w:rPr>
          <w:sz w:val="22"/>
        </w:rPr>
        <w:t>wissen – Öffentliches Recht: Der Gefahrenbegriff im Polizei- und Ordnungsrecht, in: JuS 2007</w:t>
      </w:r>
      <w:r w:rsidR="008F3EDE">
        <w:rPr>
          <w:sz w:val="22"/>
        </w:rPr>
        <w:t>, 908 f.</w:t>
      </w:r>
    </w:p>
    <w:p w14:paraId="3A7C558F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EEB3141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Grundwissen – Öffentliches Recht: </w:t>
      </w:r>
      <w:r w:rsidRPr="003C0DCB">
        <w:rPr>
          <w:sz w:val="22"/>
        </w:rPr>
        <w:t>Entscheidungsspielräume der Verwaltung (Ermessen, Beurteilungsspielraum, planerische Gestaltungsfreiheit)</w:t>
      </w:r>
      <w:r>
        <w:rPr>
          <w:sz w:val="22"/>
        </w:rPr>
        <w:t>, in: JuS 2008, 117-119.</w:t>
      </w:r>
    </w:p>
    <w:p w14:paraId="2FCD7071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75F731E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</w:r>
      <w:r w:rsidRPr="003C0DCB">
        <w:rPr>
          <w:sz w:val="22"/>
        </w:rPr>
        <w:t xml:space="preserve">Grundwissen </w:t>
      </w:r>
      <w:r w:rsidR="00370C92">
        <w:rPr>
          <w:sz w:val="22"/>
        </w:rPr>
        <w:t>–</w:t>
      </w:r>
      <w:r w:rsidRPr="003C0DCB">
        <w:rPr>
          <w:sz w:val="22"/>
        </w:rPr>
        <w:t xml:space="preserve"> Öffentliches Recht: Das subjektiv-öffentliche Recht</w:t>
      </w:r>
      <w:r>
        <w:rPr>
          <w:sz w:val="22"/>
        </w:rPr>
        <w:t>, in: JuS 2009, 16-18 (zusammen mit Anna-Bettina Kaiser).</w:t>
      </w:r>
    </w:p>
    <w:p w14:paraId="23D03E76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6F8F263" w14:textId="77777777" w:rsidR="003C0DCB" w:rsidRDefault="003C0DCB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</w:r>
      <w:r w:rsidRPr="003C0DCB">
        <w:rPr>
          <w:sz w:val="22"/>
        </w:rPr>
        <w:t xml:space="preserve">Grundwissen </w:t>
      </w:r>
      <w:r w:rsidR="00370C92">
        <w:rPr>
          <w:sz w:val="22"/>
        </w:rPr>
        <w:t>–</w:t>
      </w:r>
      <w:r w:rsidRPr="003C0DCB">
        <w:rPr>
          <w:sz w:val="22"/>
        </w:rPr>
        <w:t xml:space="preserve"> Öffentliches Recht: Der Grundrechtseingriff</w:t>
      </w:r>
      <w:r>
        <w:rPr>
          <w:sz w:val="22"/>
        </w:rPr>
        <w:t>, in: JuS 2009, 313-315 (zusammen mit Anna-Bettina Kaiser).</w:t>
      </w:r>
    </w:p>
    <w:p w14:paraId="17777850" w14:textId="77777777" w:rsidR="009C6D59" w:rsidRDefault="009C6D59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D4F5F51" w14:textId="77777777" w:rsidR="009C6D59" w:rsidRDefault="009C6D59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</w:r>
      <w:r w:rsidRPr="009C6D59">
        <w:rPr>
          <w:sz w:val="22"/>
        </w:rPr>
        <w:t xml:space="preserve">Grundwissen </w:t>
      </w:r>
      <w:r w:rsidR="00370C92">
        <w:rPr>
          <w:sz w:val="22"/>
        </w:rPr>
        <w:t>–</w:t>
      </w:r>
      <w:r w:rsidRPr="009C6D59">
        <w:rPr>
          <w:sz w:val="22"/>
        </w:rPr>
        <w:t xml:space="preserve"> Öffentliches Recht: Demokratische Legitimation</w:t>
      </w:r>
      <w:r>
        <w:rPr>
          <w:sz w:val="22"/>
        </w:rPr>
        <w:t>, in: JuS 2009, 803-805 (zusammen mit Anna-Bettina Kaiser).</w:t>
      </w:r>
    </w:p>
    <w:p w14:paraId="4908807D" w14:textId="77777777" w:rsidR="00070FFD" w:rsidRDefault="00070FFD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663621FC" w14:textId="68E02AC0" w:rsidR="00070FFD" w:rsidRDefault="00070FFD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  <w:t xml:space="preserve">Grundwissen – Öffentliches Recht: </w:t>
      </w:r>
      <w:r w:rsidR="009562FE">
        <w:rPr>
          <w:sz w:val="22"/>
        </w:rPr>
        <w:t>D</w:t>
      </w:r>
      <w:r>
        <w:rPr>
          <w:sz w:val="22"/>
        </w:rPr>
        <w:t>as Rechtsstaatsprinzip, JuS 2010, S. 116-119 (zusammen mit Ann-Katrin Kaufhold).</w:t>
      </w:r>
    </w:p>
    <w:p w14:paraId="45C2B3F0" w14:textId="77777777" w:rsidR="00070FFD" w:rsidRDefault="00070FFD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97DCD89" w14:textId="77777777" w:rsidR="00CD3D3A" w:rsidRPr="00CD3D3A" w:rsidRDefault="00070FFD" w:rsidP="00CD3D3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14</w:t>
      </w:r>
      <w:r w:rsidR="00CD3D3A">
        <w:rPr>
          <w:sz w:val="22"/>
        </w:rPr>
        <w:t>.</w:t>
      </w:r>
      <w:r w:rsidR="00CD3D3A">
        <w:rPr>
          <w:sz w:val="22"/>
        </w:rPr>
        <w:tab/>
      </w:r>
      <w:r w:rsidR="00CD3D3A" w:rsidRPr="00CD3D3A">
        <w:rPr>
          <w:sz w:val="22"/>
        </w:rPr>
        <w:t>Grundwissen – Öffentliches Recht: Das baurechtliche Rücksichtnahmegebot, JuS 2010, S. 497-499 (zusammen mit Ann-Katrin Kaufhold).</w:t>
      </w:r>
    </w:p>
    <w:p w14:paraId="4A42E852" w14:textId="77777777" w:rsidR="00CD3D3A" w:rsidRPr="00CD3D3A" w:rsidRDefault="00CD3D3A" w:rsidP="00CD3D3A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3D76CAE" w14:textId="77777777" w:rsidR="00CD3D3A" w:rsidRDefault="00070FFD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15</w:t>
      </w:r>
      <w:r w:rsidR="00773B0F">
        <w:rPr>
          <w:sz w:val="22"/>
        </w:rPr>
        <w:t>.</w:t>
      </w:r>
      <w:r w:rsidR="00773B0F">
        <w:rPr>
          <w:sz w:val="22"/>
        </w:rPr>
        <w:tab/>
      </w:r>
      <w:r w:rsidR="00CD3D3A" w:rsidRPr="00CD3D3A">
        <w:rPr>
          <w:sz w:val="22"/>
        </w:rPr>
        <w:t>Grundwissen – Öffentliches Recht: Das Bundesstaatsprinzip, JuS 2010, S. 873-876 (zusammen mit Ann-Katrin Kaufhold).</w:t>
      </w:r>
    </w:p>
    <w:p w14:paraId="7A710F59" w14:textId="77777777" w:rsidR="00773B0F" w:rsidRDefault="00773B0F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E66B5C0" w14:textId="77777777" w:rsidR="00773B0F" w:rsidRPr="00773B0F" w:rsidRDefault="005842D5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16</w:t>
      </w:r>
      <w:r w:rsidR="00773B0F" w:rsidRPr="00773B0F">
        <w:rPr>
          <w:sz w:val="22"/>
        </w:rPr>
        <w:t xml:space="preserve">. </w:t>
      </w:r>
      <w:r w:rsidR="00773B0F">
        <w:rPr>
          <w:sz w:val="22"/>
        </w:rPr>
        <w:tab/>
      </w:r>
      <w:r w:rsidR="00773B0F" w:rsidRPr="00773B0F">
        <w:rPr>
          <w:sz w:val="22"/>
        </w:rPr>
        <w:t>Grundwissen – Öffentliches Recht: Der Verwaltungsakt, JuS 2011, S. 34-37 (zusammen mit Ann-Katrin Kaufhold).</w:t>
      </w:r>
    </w:p>
    <w:p w14:paraId="255780A9" w14:textId="77777777" w:rsidR="00773B0F" w:rsidRPr="00773B0F" w:rsidRDefault="00773B0F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8EF9B2D" w14:textId="77777777" w:rsidR="00773B0F" w:rsidRPr="00773B0F" w:rsidRDefault="005842D5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17</w:t>
      </w:r>
      <w:r w:rsidR="00773B0F" w:rsidRPr="00773B0F">
        <w:rPr>
          <w:sz w:val="22"/>
        </w:rPr>
        <w:t xml:space="preserve">. </w:t>
      </w:r>
      <w:r w:rsidR="00773B0F">
        <w:rPr>
          <w:sz w:val="22"/>
        </w:rPr>
        <w:tab/>
      </w:r>
      <w:r w:rsidR="00773B0F" w:rsidRPr="00773B0F">
        <w:rPr>
          <w:sz w:val="22"/>
        </w:rPr>
        <w:t>Grundwissen – Öffentliches Recht: Funktionen der Grundrechte, JuS 2011, S. 411-413 (zusammen mit Anna-Bettina Kaiser).</w:t>
      </w:r>
    </w:p>
    <w:p w14:paraId="0B20E7A4" w14:textId="77777777" w:rsidR="00773B0F" w:rsidRPr="00773B0F" w:rsidRDefault="00773B0F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8632D56" w14:textId="77777777" w:rsidR="00773B0F" w:rsidRPr="00773B0F" w:rsidRDefault="005842D5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18</w:t>
      </w:r>
      <w:r w:rsidR="00773B0F" w:rsidRPr="00773B0F">
        <w:rPr>
          <w:sz w:val="22"/>
        </w:rPr>
        <w:t xml:space="preserve">. </w:t>
      </w:r>
      <w:r w:rsidR="00773B0F">
        <w:rPr>
          <w:sz w:val="22"/>
        </w:rPr>
        <w:tab/>
      </w:r>
      <w:r w:rsidR="00773B0F" w:rsidRPr="00773B0F">
        <w:rPr>
          <w:sz w:val="22"/>
        </w:rPr>
        <w:t>Grundwissen – Öffentliches Recht: Vertrauensschutz, JuS 2011, S. 794-796 (zusammen mit Ann-Katrin Kaufhold).</w:t>
      </w:r>
    </w:p>
    <w:p w14:paraId="5FCEFCE7" w14:textId="77777777" w:rsidR="00773B0F" w:rsidRPr="00773B0F" w:rsidRDefault="00773B0F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2C920C2" w14:textId="77777777" w:rsidR="00773B0F" w:rsidRDefault="005842D5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19</w:t>
      </w:r>
      <w:r w:rsidR="00773B0F" w:rsidRPr="00773B0F">
        <w:rPr>
          <w:sz w:val="22"/>
        </w:rPr>
        <w:t xml:space="preserve">. </w:t>
      </w:r>
      <w:r w:rsidR="00773B0F">
        <w:rPr>
          <w:sz w:val="22"/>
        </w:rPr>
        <w:tab/>
      </w:r>
      <w:r w:rsidR="00773B0F" w:rsidRPr="00773B0F">
        <w:rPr>
          <w:sz w:val="22"/>
        </w:rPr>
        <w:t>Grundwissen – Öffentliches Recht: Der Grundsatz der Gewaltenteilung, JuS 2012, S. 314-316 (zusammen mit Ann-Katrin Kaufhold).</w:t>
      </w:r>
    </w:p>
    <w:p w14:paraId="18FA691A" w14:textId="77777777" w:rsidR="001A0B81" w:rsidRDefault="001A0B81" w:rsidP="00773B0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99ECDE1" w14:textId="77777777" w:rsidR="005842D5" w:rsidRDefault="005842D5" w:rsidP="001A0B81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20</w:t>
      </w:r>
      <w:r w:rsidR="001A0B81">
        <w:rPr>
          <w:sz w:val="22"/>
        </w:rPr>
        <w:t>.</w:t>
      </w:r>
      <w:r w:rsidR="001A0B81">
        <w:rPr>
          <w:sz w:val="22"/>
        </w:rPr>
        <w:tab/>
      </w:r>
      <w:r w:rsidR="001A0B81" w:rsidRPr="00773B0F">
        <w:rPr>
          <w:sz w:val="22"/>
        </w:rPr>
        <w:t xml:space="preserve">Grundwissen – Öffentliches Recht: </w:t>
      </w:r>
      <w:r w:rsidR="001A0B81">
        <w:rPr>
          <w:sz w:val="22"/>
        </w:rPr>
        <w:t>Nebenbestimmungen</w:t>
      </w:r>
      <w:r w:rsidR="001A0B81" w:rsidRPr="00773B0F">
        <w:rPr>
          <w:sz w:val="22"/>
        </w:rPr>
        <w:t>, JuS 201</w:t>
      </w:r>
      <w:r w:rsidR="001A0B81">
        <w:rPr>
          <w:sz w:val="22"/>
        </w:rPr>
        <w:t>2</w:t>
      </w:r>
      <w:r w:rsidR="001A0B81" w:rsidRPr="00773B0F">
        <w:rPr>
          <w:sz w:val="22"/>
        </w:rPr>
        <w:t xml:space="preserve">, S. </w:t>
      </w:r>
      <w:r w:rsidR="001A0B81">
        <w:rPr>
          <w:sz w:val="22"/>
        </w:rPr>
        <w:t>699</w:t>
      </w:r>
      <w:r w:rsidR="001A0B81" w:rsidRPr="00773B0F">
        <w:rPr>
          <w:sz w:val="22"/>
        </w:rPr>
        <w:t>-</w:t>
      </w:r>
      <w:r w:rsidR="001A0B81">
        <w:rPr>
          <w:sz w:val="22"/>
        </w:rPr>
        <w:t>701</w:t>
      </w:r>
      <w:r w:rsidR="001A0B81" w:rsidRPr="00773B0F">
        <w:rPr>
          <w:sz w:val="22"/>
        </w:rPr>
        <w:t xml:space="preserve"> (zusammen mit Anna-Bettina Kaiser).</w:t>
      </w:r>
    </w:p>
    <w:p w14:paraId="3C4D1CDC" w14:textId="77777777" w:rsidR="005842D5" w:rsidRDefault="005842D5" w:rsidP="001A0B81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55901E1" w14:textId="77777777" w:rsidR="00906538" w:rsidRDefault="00906538" w:rsidP="001A0B81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21.</w:t>
      </w:r>
      <w:r>
        <w:rPr>
          <w:sz w:val="22"/>
        </w:rPr>
        <w:tab/>
        <w:t>Grundwissen – Öffentliches Recht: Der Folgenbeseitigungsanspruch, JuS 2012, S. 1079-1082 (zusammen mit Anna-Bettina Kaiser).</w:t>
      </w:r>
    </w:p>
    <w:p w14:paraId="72AA0C65" w14:textId="77777777" w:rsidR="00FC17E0" w:rsidRPr="00773B0F" w:rsidRDefault="00FC17E0" w:rsidP="001A0B81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0AA820B" w14:textId="77777777" w:rsidR="00906538" w:rsidRDefault="00906538" w:rsidP="00773B0F">
      <w:pPr>
        <w:tabs>
          <w:tab w:val="left" w:pos="567"/>
        </w:tabs>
        <w:spacing w:line="320" w:lineRule="exact"/>
        <w:jc w:val="both"/>
        <w:rPr>
          <w:sz w:val="22"/>
        </w:rPr>
      </w:pPr>
      <w:r>
        <w:rPr>
          <w:sz w:val="22"/>
        </w:rPr>
        <w:t>22</w:t>
      </w:r>
      <w:r w:rsidR="0064665E">
        <w:rPr>
          <w:sz w:val="22"/>
        </w:rPr>
        <w:t>.</w:t>
      </w:r>
      <w:r w:rsidR="0064665E">
        <w:rPr>
          <w:sz w:val="22"/>
        </w:rPr>
        <w:tab/>
        <w:t>Grundwissen – Öffentliches Recht: Offene Staatlichkeit, JuS 2013, S. 309-311 (zu</w:t>
      </w:r>
      <w:r>
        <w:rPr>
          <w:sz w:val="22"/>
        </w:rPr>
        <w:t xml:space="preserve">sammen </w:t>
      </w:r>
      <w:r>
        <w:rPr>
          <w:sz w:val="22"/>
        </w:rPr>
        <w:tab/>
        <w:t>mit Ann-Katrin Kaufhold).</w:t>
      </w:r>
    </w:p>
    <w:p w14:paraId="284BA382" w14:textId="77777777" w:rsidR="00B764F7" w:rsidRDefault="00B764F7" w:rsidP="00982FC6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8CC7EF3" w14:textId="77777777" w:rsidR="00843507" w:rsidRDefault="00843507" w:rsidP="0084350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 w:rsidRPr="00843507">
        <w:rPr>
          <w:sz w:val="22"/>
        </w:rPr>
        <w:t>2</w:t>
      </w:r>
      <w:r w:rsidR="00906538">
        <w:rPr>
          <w:sz w:val="22"/>
        </w:rPr>
        <w:t>3</w:t>
      </w:r>
      <w:r w:rsidRPr="00843507">
        <w:rPr>
          <w:sz w:val="22"/>
        </w:rPr>
        <w:t>.</w:t>
      </w:r>
      <w:r>
        <w:rPr>
          <w:sz w:val="22"/>
        </w:rPr>
        <w:tab/>
      </w:r>
      <w:r w:rsidR="00982FC6">
        <w:rPr>
          <w:sz w:val="22"/>
        </w:rPr>
        <w:t>Grundwissen – Öffentliches Recht: Der öffentlich-rechtliche Vertrag, JuS 2013, S. 687-689 (zusammen mit Anna-Bettina Kaiser)</w:t>
      </w:r>
      <w:r w:rsidR="00906538">
        <w:rPr>
          <w:sz w:val="22"/>
        </w:rPr>
        <w:t>.</w:t>
      </w:r>
      <w:r w:rsidR="00982FC6">
        <w:rPr>
          <w:sz w:val="22"/>
        </w:rPr>
        <w:t xml:space="preserve"> </w:t>
      </w:r>
    </w:p>
    <w:p w14:paraId="582F3BFB" w14:textId="77777777" w:rsidR="00906538" w:rsidRDefault="00906538" w:rsidP="0084350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271CEC9E" w14:textId="77777777" w:rsidR="00906538" w:rsidRDefault="00906538" w:rsidP="00906538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24.</w:t>
      </w:r>
      <w:r>
        <w:rPr>
          <w:sz w:val="22"/>
        </w:rPr>
        <w:tab/>
        <w:t xml:space="preserve">Grundwissen – Öffentliches Recht: Die Wahlrechtsgrundsätze, JuS 2013, S. 1078-1080 (zusammen mit Ann-Katrin Kaufhold). </w:t>
      </w:r>
    </w:p>
    <w:p w14:paraId="1BAE3A79" w14:textId="77777777" w:rsidR="00843507" w:rsidRDefault="00843507" w:rsidP="0084350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605FBF8" w14:textId="77777777" w:rsidR="00B764F7" w:rsidRDefault="00843507" w:rsidP="00843507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</w:t>
      </w:r>
      <w:r w:rsidR="00906538">
        <w:rPr>
          <w:sz w:val="22"/>
        </w:rPr>
        <w:t>5</w:t>
      </w:r>
      <w:r>
        <w:rPr>
          <w:sz w:val="22"/>
        </w:rPr>
        <w:t>.</w:t>
      </w:r>
      <w:r>
        <w:rPr>
          <w:sz w:val="22"/>
        </w:rPr>
        <w:tab/>
      </w:r>
      <w:r w:rsidR="00B764F7">
        <w:rPr>
          <w:sz w:val="22"/>
        </w:rPr>
        <w:t>Grundwissen – Öffentliches Recht: Der allgemeine Justizgewährungsanspruch, JuS 2014, S. 312-314 (zusammen mit Anna-Bettina Kaiser)</w:t>
      </w:r>
      <w:r w:rsidR="00906538">
        <w:rPr>
          <w:sz w:val="22"/>
        </w:rPr>
        <w:t>.</w:t>
      </w:r>
    </w:p>
    <w:p w14:paraId="2E9FFB90" w14:textId="77777777" w:rsidR="00B764F7" w:rsidRDefault="00B764F7" w:rsidP="00B764F7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4A828C11" w14:textId="77777777" w:rsidR="00843507" w:rsidRDefault="00843507" w:rsidP="00843507">
      <w:pPr>
        <w:tabs>
          <w:tab w:val="left" w:pos="567"/>
        </w:tabs>
        <w:spacing w:line="320" w:lineRule="exact"/>
        <w:jc w:val="both"/>
        <w:rPr>
          <w:sz w:val="22"/>
        </w:rPr>
      </w:pPr>
      <w:r>
        <w:rPr>
          <w:sz w:val="22"/>
        </w:rPr>
        <w:t>2</w:t>
      </w:r>
      <w:r w:rsidR="00906538">
        <w:rPr>
          <w:sz w:val="22"/>
        </w:rPr>
        <w:t>6</w:t>
      </w:r>
      <w:r>
        <w:rPr>
          <w:sz w:val="22"/>
        </w:rPr>
        <w:t>.</w:t>
      </w:r>
      <w:r>
        <w:rPr>
          <w:sz w:val="22"/>
        </w:rPr>
        <w:tab/>
      </w:r>
      <w:r w:rsidR="00B764F7">
        <w:rPr>
          <w:sz w:val="22"/>
        </w:rPr>
        <w:t xml:space="preserve">Grundwissen – Öffentliches Recht: Rücknahme und Widerruf von Verwaltungsakten, JuS </w:t>
      </w:r>
      <w:r>
        <w:rPr>
          <w:sz w:val="22"/>
        </w:rPr>
        <w:tab/>
      </w:r>
      <w:r w:rsidR="00B764F7">
        <w:rPr>
          <w:sz w:val="22"/>
        </w:rPr>
        <w:t>2014, S. 695-697 (zusammen mit Ann-Katrin Kaufhold)</w:t>
      </w:r>
      <w:r w:rsidR="00906538">
        <w:rPr>
          <w:sz w:val="22"/>
        </w:rPr>
        <w:t>.</w:t>
      </w:r>
    </w:p>
    <w:p w14:paraId="0D445054" w14:textId="77777777" w:rsidR="00843507" w:rsidRDefault="00843507" w:rsidP="00843507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10CA6C6D" w14:textId="77777777" w:rsidR="00843507" w:rsidRDefault="00843507" w:rsidP="00843507">
      <w:pPr>
        <w:tabs>
          <w:tab w:val="left" w:pos="567"/>
        </w:tabs>
        <w:spacing w:line="320" w:lineRule="exact"/>
        <w:jc w:val="both"/>
        <w:rPr>
          <w:sz w:val="22"/>
        </w:rPr>
      </w:pPr>
      <w:r>
        <w:rPr>
          <w:sz w:val="22"/>
        </w:rPr>
        <w:t>2</w:t>
      </w:r>
      <w:r w:rsidR="00906538">
        <w:rPr>
          <w:sz w:val="22"/>
        </w:rPr>
        <w:t>7</w:t>
      </w:r>
      <w:r>
        <w:rPr>
          <w:sz w:val="22"/>
        </w:rPr>
        <w:t>.</w:t>
      </w:r>
      <w:r>
        <w:rPr>
          <w:sz w:val="22"/>
        </w:rPr>
        <w:tab/>
      </w:r>
      <w:r w:rsidR="00B764F7">
        <w:rPr>
          <w:sz w:val="22"/>
        </w:rPr>
        <w:t>Grundwissen – Öffentliches Recht: Der Bebauungsplan, JuS 2014, S. 1074-</w:t>
      </w:r>
      <w:r>
        <w:rPr>
          <w:sz w:val="22"/>
        </w:rPr>
        <w:t xml:space="preserve">1077 (zusammen </w:t>
      </w:r>
      <w:r>
        <w:rPr>
          <w:sz w:val="22"/>
        </w:rPr>
        <w:tab/>
        <w:t>mit Anna-Bettina Kaiser)</w:t>
      </w:r>
      <w:r w:rsidR="00906538">
        <w:rPr>
          <w:sz w:val="22"/>
        </w:rPr>
        <w:t>.</w:t>
      </w:r>
    </w:p>
    <w:p w14:paraId="40AE5722" w14:textId="77777777" w:rsidR="00FC17E0" w:rsidRDefault="00FC17E0" w:rsidP="00843507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7B517C67" w14:textId="46389FE5" w:rsidR="00FC17E0" w:rsidRDefault="00FC17E0" w:rsidP="00FC17E0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  <w:r>
        <w:rPr>
          <w:sz w:val="22"/>
        </w:rPr>
        <w:t>28.</w:t>
      </w:r>
      <w:r>
        <w:rPr>
          <w:sz w:val="22"/>
        </w:rPr>
        <w:tab/>
        <w:t>Grundwissen – Öffentliches Recht: Die Rechtsverordnung, JuS 2015, S. 311-314 (zusammen mit Thomas Wischmeyer)</w:t>
      </w:r>
      <w:r w:rsidR="008729B8">
        <w:rPr>
          <w:sz w:val="22"/>
        </w:rPr>
        <w:t>.</w:t>
      </w:r>
    </w:p>
    <w:p w14:paraId="001E7F72" w14:textId="77777777" w:rsidR="006D48C3" w:rsidRDefault="006D48C3" w:rsidP="00843507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2D0BEDFD" w14:textId="0E3945D4" w:rsidR="007D5FAC" w:rsidRDefault="00FC17E0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  <w:r>
        <w:rPr>
          <w:sz w:val="22"/>
        </w:rPr>
        <w:t>29</w:t>
      </w:r>
      <w:r w:rsidR="006D48C3">
        <w:rPr>
          <w:sz w:val="22"/>
        </w:rPr>
        <w:t xml:space="preserve">. </w:t>
      </w:r>
      <w:r w:rsidR="006D48C3">
        <w:rPr>
          <w:sz w:val="22"/>
        </w:rPr>
        <w:tab/>
        <w:t>Grundwissen – Öffentliches Recht: Das Sozialstaats</w:t>
      </w:r>
      <w:r>
        <w:rPr>
          <w:sz w:val="22"/>
        </w:rPr>
        <w:t>prinzip, JuS 2015, S. 693-695 (z</w:t>
      </w:r>
      <w:r w:rsidR="006D48C3">
        <w:rPr>
          <w:sz w:val="22"/>
        </w:rPr>
        <w:t>usammen mit Thomas Wischmeyer</w:t>
      </w:r>
      <w:r>
        <w:rPr>
          <w:sz w:val="22"/>
        </w:rPr>
        <w:t>)</w:t>
      </w:r>
      <w:r w:rsidR="008729B8">
        <w:rPr>
          <w:sz w:val="22"/>
        </w:rPr>
        <w:t>.</w:t>
      </w:r>
    </w:p>
    <w:p w14:paraId="3DB5D7E1" w14:textId="77777777" w:rsidR="007D5FAC" w:rsidRDefault="007D5FA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0427BA38" w14:textId="3A0FE10B" w:rsidR="007D5FAC" w:rsidRDefault="007D5FA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</w:rPr>
        <w:t>30.</w:t>
      </w:r>
      <w:r>
        <w:rPr>
          <w:sz w:val="22"/>
        </w:rPr>
        <w:tab/>
      </w:r>
      <w:r w:rsidRPr="00201763">
        <w:rPr>
          <w:sz w:val="22"/>
          <w:szCs w:val="22"/>
        </w:rPr>
        <w:t xml:space="preserve">Grundwissen – Öffentliches Recht: </w:t>
      </w:r>
      <w:r w:rsidRPr="007D5FAC">
        <w:rPr>
          <w:sz w:val="22"/>
          <w:szCs w:val="22"/>
        </w:rPr>
        <w:t>Der Amtshaftungsanspruch</w:t>
      </w:r>
      <w:r w:rsidRPr="00201763">
        <w:rPr>
          <w:sz w:val="22"/>
          <w:szCs w:val="22"/>
        </w:rPr>
        <w:t>,</w:t>
      </w:r>
      <w:r>
        <w:rPr>
          <w:sz w:val="22"/>
          <w:szCs w:val="22"/>
        </w:rPr>
        <w:t xml:space="preserve"> in:</w:t>
      </w:r>
      <w:r w:rsidRPr="00201763">
        <w:rPr>
          <w:sz w:val="22"/>
          <w:szCs w:val="22"/>
        </w:rPr>
        <w:t xml:space="preserve"> JuS 2015, </w:t>
      </w:r>
      <w:r>
        <w:rPr>
          <w:sz w:val="22"/>
          <w:szCs w:val="22"/>
        </w:rPr>
        <w:t>S.</w:t>
      </w:r>
      <w:r w:rsidR="00CB5DE9">
        <w:rPr>
          <w:sz w:val="22"/>
          <w:szCs w:val="22"/>
        </w:rPr>
        <w:t xml:space="preserve"> </w:t>
      </w:r>
      <w:r w:rsidRPr="00201763">
        <w:rPr>
          <w:sz w:val="22"/>
          <w:szCs w:val="22"/>
        </w:rPr>
        <w:t>1076–1078 (</w:t>
      </w:r>
      <w:r>
        <w:rPr>
          <w:sz w:val="22"/>
          <w:szCs w:val="22"/>
        </w:rPr>
        <w:t xml:space="preserve">zusammen </w:t>
      </w:r>
      <w:r w:rsidRPr="00201763">
        <w:rPr>
          <w:sz w:val="22"/>
          <w:szCs w:val="22"/>
        </w:rPr>
        <w:t>mit Anna</w:t>
      </w:r>
      <w:r>
        <w:rPr>
          <w:sz w:val="22"/>
          <w:szCs w:val="22"/>
        </w:rPr>
        <w:t>-</w:t>
      </w:r>
      <w:r w:rsidRPr="00201763">
        <w:rPr>
          <w:sz w:val="22"/>
          <w:szCs w:val="22"/>
        </w:rPr>
        <w:t>Bettina Kaiser)</w:t>
      </w:r>
      <w:r w:rsidR="008729B8">
        <w:rPr>
          <w:sz w:val="22"/>
          <w:szCs w:val="22"/>
        </w:rPr>
        <w:t>.</w:t>
      </w:r>
    </w:p>
    <w:p w14:paraId="031FA3E7" w14:textId="77777777" w:rsidR="007D5FAC" w:rsidRDefault="007D5FA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6FDF992D" w14:textId="70564E89" w:rsidR="007D5FAC" w:rsidRDefault="007D5FAC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</w:rPr>
        <w:t>31.</w:t>
      </w:r>
      <w:r>
        <w:rPr>
          <w:sz w:val="22"/>
        </w:rPr>
        <w:tab/>
      </w:r>
      <w:r>
        <w:rPr>
          <w:sz w:val="22"/>
          <w:szCs w:val="22"/>
        </w:rPr>
        <w:t xml:space="preserve">Grundwissen – Öffentliches Recht: </w:t>
      </w:r>
      <w:r w:rsidRPr="007D5FAC">
        <w:rPr>
          <w:sz w:val="22"/>
          <w:szCs w:val="22"/>
        </w:rPr>
        <w:t>Verwaltungsvorschriften</w:t>
      </w:r>
      <w:r>
        <w:rPr>
          <w:sz w:val="22"/>
          <w:szCs w:val="22"/>
        </w:rPr>
        <w:t>, in: JuS 2016, S.</w:t>
      </w:r>
      <w:r w:rsidR="00CB5DE9">
        <w:rPr>
          <w:sz w:val="22"/>
          <w:szCs w:val="22"/>
        </w:rPr>
        <w:t xml:space="preserve"> </w:t>
      </w:r>
      <w:r>
        <w:rPr>
          <w:sz w:val="22"/>
          <w:szCs w:val="22"/>
        </w:rPr>
        <w:t>314-316 (zusammen mit Ann-Katrin Kaufhold)</w:t>
      </w:r>
      <w:r w:rsidR="008729B8">
        <w:rPr>
          <w:sz w:val="22"/>
          <w:szCs w:val="22"/>
        </w:rPr>
        <w:t>.</w:t>
      </w:r>
    </w:p>
    <w:p w14:paraId="70043F65" w14:textId="77777777" w:rsidR="00CB5DE9" w:rsidRDefault="00CB5DE9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6E00F3C2" w14:textId="3DF16256" w:rsidR="00CB5DE9" w:rsidRDefault="00CB5DE9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32.</w:t>
      </w:r>
      <w:r>
        <w:rPr>
          <w:sz w:val="22"/>
          <w:szCs w:val="22"/>
        </w:rPr>
        <w:tab/>
        <w:t>Grundwissen – Öffentliches Recht: Verwaltungsvollstreckung, in: JuS 2016, S. 698-701 (zusammen mit Thomas Wischmeyer)</w:t>
      </w:r>
      <w:r w:rsidR="008729B8">
        <w:rPr>
          <w:sz w:val="22"/>
          <w:szCs w:val="22"/>
        </w:rPr>
        <w:t>..</w:t>
      </w:r>
    </w:p>
    <w:p w14:paraId="3594533C" w14:textId="77777777" w:rsidR="003356EF" w:rsidRDefault="003356EF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164A0515" w14:textId="1A5754B6" w:rsidR="003356EF" w:rsidRDefault="003356EF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33.</w:t>
      </w:r>
      <w:r>
        <w:rPr>
          <w:sz w:val="22"/>
          <w:szCs w:val="22"/>
        </w:rPr>
        <w:tab/>
        <w:t>Grundwissen – Öffentliches Recht: Verwaltungskompetenzen, JuS 2017, S. 316-318 (zusammen mit Anna-Bettina Kaiser)</w:t>
      </w:r>
      <w:r w:rsidR="008729B8">
        <w:rPr>
          <w:sz w:val="22"/>
          <w:szCs w:val="22"/>
        </w:rPr>
        <w:t>.</w:t>
      </w:r>
    </w:p>
    <w:p w14:paraId="30B1B9C4" w14:textId="77777777" w:rsidR="006C3CDE" w:rsidRDefault="006C3CDE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2D306474" w14:textId="6F22850E" w:rsidR="006C3CDE" w:rsidRDefault="006C3CDE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34.</w:t>
      </w:r>
      <w:r>
        <w:rPr>
          <w:sz w:val="22"/>
          <w:szCs w:val="22"/>
        </w:rPr>
        <w:tab/>
        <w:t>Grundwissen – Öffentliches Recht: Die verfassungsrechtliche Garantie der kommunalen Selbstverwaltung, JuS 2017, S. 728-730 (zusammen mit Ann-Katrin Kaufhold)</w:t>
      </w:r>
      <w:r w:rsidR="008729B8">
        <w:rPr>
          <w:sz w:val="22"/>
          <w:szCs w:val="22"/>
        </w:rPr>
        <w:t>.</w:t>
      </w:r>
    </w:p>
    <w:p w14:paraId="348A7E39" w14:textId="77777777" w:rsidR="008B1668" w:rsidRDefault="008B1668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40192082" w14:textId="751CDBA0" w:rsidR="008B1668" w:rsidRPr="007D5FAC" w:rsidRDefault="008B1668" w:rsidP="007D5FAC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  <w:r>
        <w:rPr>
          <w:sz w:val="22"/>
          <w:szCs w:val="22"/>
        </w:rPr>
        <w:t>35.</w:t>
      </w:r>
      <w:r>
        <w:rPr>
          <w:sz w:val="22"/>
          <w:szCs w:val="22"/>
        </w:rPr>
        <w:tab/>
        <w:t>Grundwissen – Öffentliches Recht: Informationshandeln des Staates, JuS 2018, S. 343-346 (zusammen mit Anna-Bettina Kaiser)</w:t>
      </w:r>
      <w:r w:rsidR="008729B8">
        <w:rPr>
          <w:sz w:val="22"/>
          <w:szCs w:val="22"/>
        </w:rPr>
        <w:t>.</w:t>
      </w:r>
    </w:p>
    <w:p w14:paraId="1F00DFDD" w14:textId="4B33D637" w:rsidR="007D5FAC" w:rsidRDefault="007D5FAC" w:rsidP="009562FE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1784522E" w14:textId="37EC08DD" w:rsidR="00A85B9A" w:rsidRDefault="00A67D06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36</w:t>
      </w:r>
      <w:r w:rsidR="00A85B9A">
        <w:rPr>
          <w:sz w:val="22"/>
          <w:szCs w:val="22"/>
        </w:rPr>
        <w:t>.</w:t>
      </w:r>
      <w:r w:rsidR="00A85B9A">
        <w:rPr>
          <w:sz w:val="22"/>
          <w:szCs w:val="22"/>
        </w:rPr>
        <w:tab/>
        <w:t>Grundwissen - Öffentliches Recht: Nachbarschutz im öffentlichen Recht, JuS 2018, S. 764-767 (zusammen mit Ann-Katrin Kaufhold)</w:t>
      </w:r>
      <w:r w:rsidR="008729B8">
        <w:rPr>
          <w:sz w:val="22"/>
          <w:szCs w:val="22"/>
        </w:rPr>
        <w:t>.</w:t>
      </w:r>
    </w:p>
    <w:p w14:paraId="0FAC432A" w14:textId="77777777" w:rsidR="008729B8" w:rsidRDefault="008729B8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5E9960BF" w14:textId="4E7D4C7C" w:rsidR="008729B8" w:rsidRDefault="008729B8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37.</w:t>
      </w:r>
      <w:r>
        <w:rPr>
          <w:sz w:val="22"/>
          <w:szCs w:val="22"/>
        </w:rPr>
        <w:tab/>
        <w:t>Grundwissen - Öffentliches Recht: Die Organe der Europäischen Union, JuS 2018, S. 1184-1187 (zusammen mit Thomas Wischmeyer).</w:t>
      </w:r>
    </w:p>
    <w:p w14:paraId="4C52CD80" w14:textId="77777777" w:rsidR="00613062" w:rsidRDefault="00613062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1FA29559" w14:textId="41503FE1" w:rsidR="00613062" w:rsidRDefault="00613062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  <w:r>
        <w:rPr>
          <w:sz w:val="22"/>
          <w:szCs w:val="22"/>
        </w:rPr>
        <w:t>38.</w:t>
      </w:r>
      <w:r>
        <w:rPr>
          <w:sz w:val="22"/>
          <w:szCs w:val="22"/>
        </w:rPr>
        <w:tab/>
        <w:t xml:space="preserve">Grundwissen – Öffentliches Recht: Europäisierung des Verwaltungsrechts, JuS 2019, S.  </w:t>
      </w:r>
      <w:r w:rsidR="008C4804">
        <w:rPr>
          <w:sz w:val="22"/>
          <w:szCs w:val="22"/>
        </w:rPr>
        <w:t xml:space="preserve">347-350 </w:t>
      </w:r>
      <w:r>
        <w:rPr>
          <w:sz w:val="22"/>
          <w:szCs w:val="22"/>
        </w:rPr>
        <w:t>(zusammen mit Jakob Schemmel)</w:t>
      </w:r>
      <w:r w:rsidR="008C4804">
        <w:rPr>
          <w:sz w:val="22"/>
          <w:szCs w:val="22"/>
        </w:rPr>
        <w:t>.</w:t>
      </w:r>
    </w:p>
    <w:p w14:paraId="0752A864" w14:textId="77777777" w:rsidR="008C4804" w:rsidRDefault="008C4804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  <w:szCs w:val="22"/>
        </w:rPr>
      </w:pPr>
    </w:p>
    <w:p w14:paraId="0912B7CF" w14:textId="6FEBF39D" w:rsidR="008C4804" w:rsidRPr="007D5FAC" w:rsidRDefault="008C4804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  <w:r>
        <w:rPr>
          <w:sz w:val="22"/>
          <w:szCs w:val="22"/>
        </w:rPr>
        <w:t>39</w:t>
      </w:r>
      <w:r>
        <w:rPr>
          <w:sz w:val="22"/>
          <w:szCs w:val="22"/>
        </w:rPr>
        <w:tab/>
        <w:t>Grundwissen - Öffentliches Recht: Die Parteien, JuS 2019, S. 763-766 (zusammen mit Ann-Katrin Kaufhold).</w:t>
      </w:r>
    </w:p>
    <w:p w14:paraId="4A5161D0" w14:textId="77777777" w:rsidR="00A85B9A" w:rsidRDefault="00A85B9A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2F223DC2" w14:textId="77777777" w:rsidR="00A85B9A" w:rsidRDefault="00A85B9A" w:rsidP="00A85B9A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7F98E371" w14:textId="77777777" w:rsidR="00843507" w:rsidRPr="00843507" w:rsidRDefault="00843507" w:rsidP="009562FE">
      <w:pPr>
        <w:tabs>
          <w:tab w:val="left" w:pos="567"/>
        </w:tabs>
        <w:spacing w:line="320" w:lineRule="exact"/>
        <w:ind w:left="720"/>
        <w:jc w:val="both"/>
        <w:rPr>
          <w:sz w:val="22"/>
        </w:rPr>
      </w:pPr>
    </w:p>
    <w:p w14:paraId="275A752A" w14:textId="77777777" w:rsidR="00982FC6" w:rsidRDefault="00982FC6" w:rsidP="009562FE">
      <w:pPr>
        <w:tabs>
          <w:tab w:val="left" w:pos="567"/>
        </w:tabs>
        <w:spacing w:line="320" w:lineRule="exact"/>
        <w:jc w:val="both"/>
        <w:rPr>
          <w:sz w:val="22"/>
        </w:rPr>
      </w:pPr>
    </w:p>
    <w:p w14:paraId="544DA3B3" w14:textId="77777777" w:rsidR="004C2A3F" w:rsidRDefault="004C2A3F">
      <w:pPr>
        <w:tabs>
          <w:tab w:val="left" w:pos="567"/>
        </w:tabs>
        <w:ind w:left="567" w:hanging="567"/>
        <w:jc w:val="both"/>
        <w:rPr>
          <w:b/>
          <w:sz w:val="28"/>
        </w:rPr>
      </w:pPr>
      <w:r>
        <w:rPr>
          <w:b/>
          <w:sz w:val="28"/>
        </w:rPr>
        <w:t>V</w:t>
      </w:r>
      <w:r w:rsidR="00DC38D0">
        <w:rPr>
          <w:b/>
          <w:sz w:val="28"/>
        </w:rPr>
        <w:t>I</w:t>
      </w:r>
      <w:r>
        <w:rPr>
          <w:b/>
          <w:sz w:val="28"/>
        </w:rPr>
        <w:t xml:space="preserve">. </w:t>
      </w:r>
      <w:r>
        <w:rPr>
          <w:b/>
          <w:sz w:val="28"/>
        </w:rPr>
        <w:tab/>
        <w:t>Anzeigen, Besprechungen, Tagungsberichte</w:t>
      </w:r>
    </w:p>
    <w:p w14:paraId="418DE2E4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B462F00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Rudolf Dolzer/Erik Jayme/Reinhard Mußgnug (Hrsg.), Rechtsfragen des internationalen Kulturgüterschutzes, Heidelberg 1994, Anzeige in: AöR Bd. 120 (1995), S. 163-165.</w:t>
      </w:r>
    </w:p>
    <w:p w14:paraId="4E85FB99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05120C4E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Allgemeinheit der Grundrechte und Vielfalt der Gesellschaft, Tagungsbe</w:t>
      </w:r>
      <w:r>
        <w:rPr>
          <w:sz w:val="22"/>
        </w:rPr>
        <w:softHyphen/>
        <w:t>richt zur 34. Tagung der Wissenschaftlichen Mitarbeiterinnen und Mitarbeiter der Fachrichtung "Öffentliches Recht" vom 1. bis 4. März 1994 in Wien, Tagungsbericht, in: Juristische Blätter 1994, S. 462-465 = SächsVBl. 1994, S. 211-213.</w:t>
      </w:r>
    </w:p>
    <w:p w14:paraId="206EB925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2C18BBE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Roman Loeser, System des Verwaltungsrechts, Bd. I u. Bd. II, Baden-Baden 1994, 612 S. bzw. 185 S., Besprechung in: BayVBl. 1995, S. 63</w:t>
      </w:r>
      <w:r w:rsidR="001A0B81">
        <w:rPr>
          <w:sz w:val="22"/>
        </w:rPr>
        <w:t>-64</w:t>
      </w:r>
      <w:r>
        <w:rPr>
          <w:sz w:val="22"/>
        </w:rPr>
        <w:t>.</w:t>
      </w:r>
    </w:p>
    <w:p w14:paraId="661AE6EA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119989E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Sybille Pawlowski, Zum außerordentlichen Rechtsschutz gegen Urteile und Beschlüsse bei Verletzung des Rechts auf Gehör nach Art. 103 Abs. 1 GG durch die Zivilgerichtsbarkeit. Ein Beitrag zur Lehre von der „greifbaren Gesetzwidrigkeit", Berlin 1994, 189 S., Besprechung in: ZZP Bd. 108 (1995), S. 271</w:t>
      </w:r>
      <w:r w:rsidR="001A0B81">
        <w:rPr>
          <w:sz w:val="22"/>
        </w:rPr>
        <w:t>-272</w:t>
      </w:r>
      <w:r>
        <w:rPr>
          <w:sz w:val="22"/>
        </w:rPr>
        <w:t xml:space="preserve">. </w:t>
      </w:r>
    </w:p>
    <w:p w14:paraId="3E00B7AC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C9305E5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Verfassungsrecht im Wandel. Wiedervereinigung Deutschlands. Deutschland in der Europäischen Union, Verfassungsstaat und Födera</w:t>
      </w:r>
      <w:r>
        <w:rPr>
          <w:sz w:val="22"/>
        </w:rPr>
        <w:softHyphen/>
        <w:t>lismus. Zum 180jährigen Bestehen der Carl Heymanns Verlag KG, hrsg. von Jörn Ipsen, Hans-Werner Rengeling, Jörg Manfred Mössner und Al</w:t>
      </w:r>
      <w:r>
        <w:rPr>
          <w:sz w:val="22"/>
        </w:rPr>
        <w:softHyphen/>
        <w:t>brecht Weber, Köln u.a. 1995, XII/693 Seiten, Besprechung in: BayVBl. 1997, S.</w:t>
      </w:r>
      <w:r w:rsidR="002C482C">
        <w:rPr>
          <w:sz w:val="22"/>
        </w:rPr>
        <w:t> </w:t>
      </w:r>
      <w:r>
        <w:rPr>
          <w:sz w:val="22"/>
        </w:rPr>
        <w:t>95-96.</w:t>
      </w:r>
    </w:p>
    <w:p w14:paraId="6F55F5CF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FC3FB50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Schmidt-Räntsch, Deutsches Richtergesetz. Kommentar von Günter Schmidt-Räntsch und Jürgen Schmidt-Räntsch, München, 5. Auflage 1995, Anzeige in: AöR Bd. 121 (1996), S.</w:t>
      </w:r>
      <w:r w:rsidR="002C482C">
        <w:rPr>
          <w:sz w:val="22"/>
        </w:rPr>
        <w:t> </w:t>
      </w:r>
      <w:r>
        <w:rPr>
          <w:sz w:val="22"/>
        </w:rPr>
        <w:t>665-667.</w:t>
      </w:r>
    </w:p>
    <w:p w14:paraId="2C8D024E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389E46CC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Christoph Enders, Kompensationsregelungen im Immissionsschutzrecht. Zur gesetzlichen Begründung von Emissionsrechten und ihrer Übertra</w:t>
      </w:r>
      <w:r>
        <w:rPr>
          <w:sz w:val="22"/>
        </w:rPr>
        <w:softHyphen/>
        <w:t>gung nach den Kompensationsregeln des Bundes-Immissionsschutzgesetzes im Bereich der Luftreinhaltung, Berlin 1996, Besprechung in: Die Verwaltung Bd. 31 (1998), S. 126-128.</w:t>
      </w:r>
    </w:p>
    <w:p w14:paraId="2B0EDF7F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74A0C760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Volker Schlette, Der Anspruch auf gerichtliche Entscheidung in angemessener Frist. Verfassungsrechtliche Grundlagen und praktische Durchsetzung, Berlin 1999, Besprechung in: JZ 2000, S. 197-198.</w:t>
      </w:r>
    </w:p>
    <w:p w14:paraId="570DAF93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315846D" w14:textId="77777777" w:rsidR="004C2A3F" w:rsidRDefault="004C2A3F">
      <w:pPr>
        <w:pStyle w:val="Textkrper-Zeileneinzug"/>
        <w:tabs>
          <w:tab w:val="left" w:pos="567"/>
        </w:tabs>
        <w:ind w:left="567" w:hanging="567"/>
      </w:pPr>
      <w:r>
        <w:t>9.</w:t>
      </w:r>
      <w:r>
        <w:tab/>
      </w:r>
      <w:r w:rsidRPr="001D7B85">
        <w:t>Arndt Schmehl, Genehmigungen unter Änderungsvorbehalt zwischen Stabilität und Flexibilität. Zur Entwicklung revisionsoffener Genehmigungsentscheidungen im Umweltrecht – verwaltungsrechtliche, verfassungsrechtliche und verwaltungswissenschaftliche Aspekte, Baden-Baden 1998, Besprechung in: DVBl.</w:t>
      </w:r>
    </w:p>
    <w:p w14:paraId="2B862443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5429EFF0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Erik Gawel/Gertrude Lübbe-Wolff (Hrsg.), Rationale Umweltpolitik – Rationales Umweltrecht. Konzepte, Kriterien und Grenzen rationaler Steuerung im Umweltschutz, Baden-Baden 1999, Besprechung in: Die Verwaltung Bd</w:t>
      </w:r>
      <w:r w:rsidR="001C35F2">
        <w:rPr>
          <w:sz w:val="22"/>
        </w:rPr>
        <w:t>.</w:t>
      </w:r>
      <w:r>
        <w:rPr>
          <w:sz w:val="22"/>
        </w:rPr>
        <w:t xml:space="preserve"> 34 (2001), S.</w:t>
      </w:r>
      <w:r w:rsidR="002C482C">
        <w:rPr>
          <w:sz w:val="22"/>
        </w:rPr>
        <w:t> </w:t>
      </w:r>
      <w:r>
        <w:rPr>
          <w:sz w:val="22"/>
        </w:rPr>
        <w:t>581-583.</w:t>
      </w:r>
    </w:p>
    <w:p w14:paraId="67E69C9B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1512DF05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 xml:space="preserve">Gunnar Folke Schuppert, Verwaltungswissenschaft. Verwaltung, Verwaltungsrecht, Verwaltungslehre, </w:t>
      </w:r>
      <w:r w:rsidR="00607DC3">
        <w:rPr>
          <w:sz w:val="22"/>
        </w:rPr>
        <w:t>Baden-Baden</w:t>
      </w:r>
      <w:r>
        <w:rPr>
          <w:sz w:val="22"/>
        </w:rPr>
        <w:t xml:space="preserve"> 2000, 1023 S., Besprechung in: DER STAAT Bd. 41 (2002), S.</w:t>
      </w:r>
      <w:r w:rsidR="007730AF">
        <w:rPr>
          <w:sz w:val="22"/>
        </w:rPr>
        <w:t> </w:t>
      </w:r>
      <w:r>
        <w:rPr>
          <w:sz w:val="22"/>
        </w:rPr>
        <w:t>487-490.</w:t>
      </w:r>
    </w:p>
    <w:p w14:paraId="10028E33" w14:textId="77777777" w:rsidR="004C2A3F" w:rsidRDefault="004C2A3F">
      <w:pPr>
        <w:tabs>
          <w:tab w:val="left" w:pos="567"/>
        </w:tabs>
        <w:spacing w:line="320" w:lineRule="exact"/>
        <w:ind w:left="567" w:hanging="567"/>
        <w:jc w:val="both"/>
        <w:rPr>
          <w:sz w:val="22"/>
        </w:rPr>
      </w:pPr>
    </w:p>
    <w:p w14:paraId="4D15E3AA" w14:textId="77777777" w:rsidR="004C2A3F" w:rsidRDefault="004C2A3F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Arthur Benz, Der moderne Staat – Grundlagen der politologischen Analyse, München 2001, Besprechung in: DÖV 2002, 923</w:t>
      </w:r>
      <w:r w:rsidR="00581019">
        <w:rPr>
          <w:rFonts w:ascii="Times New Roman" w:hAnsi="Times New Roman"/>
        </w:rPr>
        <w:t>-924</w:t>
      </w:r>
      <w:r>
        <w:rPr>
          <w:rFonts w:ascii="Times New Roman" w:hAnsi="Times New Roman"/>
        </w:rPr>
        <w:t>.</w:t>
      </w:r>
    </w:p>
    <w:p w14:paraId="5BCBBFE1" w14:textId="77777777" w:rsidR="001C35F2" w:rsidRDefault="001C35F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</w:p>
    <w:p w14:paraId="328D13C0" w14:textId="77777777" w:rsidR="001C35F2" w:rsidRDefault="001C35F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Regina Kiener, Richterliche Unabhängigkeit, Verfassungsrechtliche Anforderungen an Richter und Gerichte, Bern 2001, 397 S., Besprechung in: ZZP</w:t>
      </w:r>
      <w:r w:rsidR="00C33061">
        <w:rPr>
          <w:rFonts w:ascii="Times New Roman" w:hAnsi="Times New Roman"/>
        </w:rPr>
        <w:t xml:space="preserve"> </w:t>
      </w:r>
      <w:r w:rsidR="007730AF">
        <w:rPr>
          <w:rFonts w:ascii="Times New Roman" w:hAnsi="Times New Roman"/>
        </w:rPr>
        <w:t>1</w:t>
      </w:r>
      <w:r w:rsidR="00C33061">
        <w:rPr>
          <w:rFonts w:ascii="Times New Roman" w:hAnsi="Times New Roman"/>
        </w:rPr>
        <w:t>16 (2003), S. 387-389.</w:t>
      </w:r>
    </w:p>
    <w:p w14:paraId="693B6DA3" w14:textId="77777777" w:rsidR="00AF59E2" w:rsidRDefault="00AF59E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</w:p>
    <w:p w14:paraId="27E9EB98" w14:textId="77777777" w:rsidR="00AF59E2" w:rsidRDefault="00AF59E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 xml:space="preserve">Friedrich Müller/Ralph Christensen, Juristische Methodik, Bd. I: Grundlagen, Öffentliches Recht, 8. Aufl., Berlin 2002, 546 S.; Bd. II: Europarecht, </w:t>
      </w:r>
      <w:r w:rsidR="00607DC3">
        <w:rPr>
          <w:rFonts w:ascii="Times New Roman" w:hAnsi="Times New Roman"/>
        </w:rPr>
        <w:t>Berlin 2</w:t>
      </w:r>
      <w:r>
        <w:rPr>
          <w:rFonts w:ascii="Times New Roman" w:hAnsi="Times New Roman"/>
        </w:rPr>
        <w:t>003, 507 S., in: DÖV</w:t>
      </w:r>
      <w:r w:rsidR="00C6402C">
        <w:rPr>
          <w:rFonts w:ascii="Times New Roman" w:hAnsi="Times New Roman"/>
        </w:rPr>
        <w:t xml:space="preserve"> 2004, S. 499</w:t>
      </w:r>
      <w:r w:rsidR="00581019">
        <w:rPr>
          <w:rFonts w:ascii="Times New Roman" w:hAnsi="Times New Roman"/>
        </w:rPr>
        <w:t>-500</w:t>
      </w:r>
      <w:r w:rsidR="00C6402C">
        <w:rPr>
          <w:rFonts w:ascii="Times New Roman" w:hAnsi="Times New Roman"/>
        </w:rPr>
        <w:t>.</w:t>
      </w:r>
    </w:p>
    <w:p w14:paraId="53FFF6D7" w14:textId="77777777" w:rsidR="009A5145" w:rsidRDefault="009A514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</w:p>
    <w:p w14:paraId="1DAD8108" w14:textId="77777777" w:rsidR="009A5145" w:rsidRDefault="009A514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</w:r>
      <w:r w:rsidR="008B5B6E">
        <w:rPr>
          <w:rFonts w:ascii="Times New Roman" w:hAnsi="Times New Roman"/>
        </w:rPr>
        <w:t>Georg Müller, Elemente einer Rechtssetzungslehre, 2. Aufl., Zürich</w:t>
      </w:r>
      <w:r w:rsidR="00607DC3">
        <w:rPr>
          <w:rFonts w:ascii="Times New Roman" w:hAnsi="Times New Roman"/>
        </w:rPr>
        <w:t>/</w:t>
      </w:r>
      <w:r w:rsidR="008B5B6E">
        <w:rPr>
          <w:rFonts w:ascii="Times New Roman" w:hAnsi="Times New Roman"/>
        </w:rPr>
        <w:t>Basel</w:t>
      </w:r>
      <w:r w:rsidR="00607DC3">
        <w:rPr>
          <w:rFonts w:ascii="Times New Roman" w:hAnsi="Times New Roman"/>
        </w:rPr>
        <w:t>/</w:t>
      </w:r>
      <w:r w:rsidR="008B5B6E">
        <w:rPr>
          <w:rFonts w:ascii="Times New Roman" w:hAnsi="Times New Roman"/>
        </w:rPr>
        <w:t xml:space="preserve">Genf 2006, 294 S., Besprechung in: DER STAAT </w:t>
      </w:r>
      <w:r w:rsidR="00607DC3">
        <w:rPr>
          <w:rFonts w:ascii="Times New Roman" w:hAnsi="Times New Roman"/>
        </w:rPr>
        <w:t>Bd. 48 (2009), S. 150-153.</w:t>
      </w:r>
    </w:p>
    <w:p w14:paraId="243BCB1A" w14:textId="77777777" w:rsidR="00E14CCD" w:rsidRPr="009562FE" w:rsidRDefault="00E14CCD" w:rsidP="009562FE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7672E98E" w14:textId="77777777" w:rsidR="003D33F1" w:rsidRPr="009562FE" w:rsidRDefault="003D33F1" w:rsidP="009562FE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3176E166" w14:textId="77777777" w:rsidR="003D33F1" w:rsidRPr="009562FE" w:rsidRDefault="003D33F1" w:rsidP="009562FE">
      <w:pPr>
        <w:tabs>
          <w:tab w:val="left" w:pos="567"/>
        </w:tabs>
        <w:spacing w:line="320" w:lineRule="exact"/>
        <w:ind w:left="560" w:hanging="560"/>
        <w:jc w:val="both"/>
        <w:rPr>
          <w:sz w:val="22"/>
        </w:rPr>
      </w:pPr>
    </w:p>
    <w:p w14:paraId="78E3B51C" w14:textId="3465BD2C" w:rsidR="00A44436" w:rsidRDefault="00817436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A44436">
        <w:rPr>
          <w:rFonts w:ascii="Times New Roman" w:hAnsi="Times New Roman"/>
          <w:b/>
          <w:sz w:val="28"/>
          <w:szCs w:val="28"/>
        </w:rPr>
        <w:t>II</w:t>
      </w:r>
      <w:r w:rsidR="00A44436" w:rsidRPr="00DD4044">
        <w:rPr>
          <w:rFonts w:ascii="Times New Roman" w:hAnsi="Times New Roman"/>
          <w:b/>
          <w:sz w:val="28"/>
          <w:szCs w:val="28"/>
        </w:rPr>
        <w:t>.</w:t>
      </w:r>
      <w:r w:rsidR="00A44436" w:rsidRPr="00DD4044">
        <w:rPr>
          <w:rFonts w:ascii="Times New Roman" w:hAnsi="Times New Roman"/>
          <w:b/>
          <w:sz w:val="28"/>
          <w:szCs w:val="28"/>
        </w:rPr>
        <w:tab/>
      </w:r>
      <w:r w:rsidR="00A44436">
        <w:rPr>
          <w:rFonts w:ascii="Times New Roman" w:hAnsi="Times New Roman"/>
          <w:b/>
          <w:sz w:val="28"/>
          <w:szCs w:val="28"/>
        </w:rPr>
        <w:t>Varia</w:t>
      </w:r>
    </w:p>
    <w:p w14:paraId="52A7FE63" w14:textId="77777777" w:rsidR="00A44436" w:rsidRDefault="00A44436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11D708B0" w14:textId="77777777" w:rsidR="00875309" w:rsidRPr="00875309" w:rsidRDefault="00875309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 w:val="24"/>
          <w:szCs w:val="24"/>
        </w:rPr>
      </w:pPr>
      <w:r w:rsidRPr="00875309">
        <w:rPr>
          <w:rFonts w:ascii="Times New Roman" w:hAnsi="Times New Roman"/>
          <w:sz w:val="24"/>
          <w:szCs w:val="24"/>
        </w:rPr>
        <w:t>1.</w:t>
      </w:r>
      <w:r w:rsidRPr="00875309">
        <w:rPr>
          <w:rFonts w:ascii="Times New Roman" w:hAnsi="Times New Roman"/>
          <w:sz w:val="24"/>
          <w:szCs w:val="24"/>
        </w:rPr>
        <w:tab/>
      </w:r>
      <w:r w:rsidRPr="00875309">
        <w:rPr>
          <w:rFonts w:ascii="Times New Roman" w:hAnsi="Times New Roman"/>
          <w:sz w:val="24"/>
          <w:szCs w:val="24"/>
        </w:rPr>
        <w:tab/>
        <w:t>Lippe - gelebte Heimat</w:t>
      </w:r>
      <w:r>
        <w:rPr>
          <w:rFonts w:ascii="Times New Roman" w:hAnsi="Times New Roman"/>
          <w:sz w:val="24"/>
          <w:szCs w:val="24"/>
        </w:rPr>
        <w:t>, Lippische Heimat 2008, S. 252-255</w:t>
      </w:r>
      <w:r w:rsidR="00447CCB">
        <w:rPr>
          <w:rFonts w:ascii="Times New Roman" w:hAnsi="Times New Roman"/>
          <w:sz w:val="24"/>
          <w:szCs w:val="24"/>
        </w:rPr>
        <w:t>.</w:t>
      </w:r>
    </w:p>
    <w:p w14:paraId="017510EC" w14:textId="77777777" w:rsidR="00875309" w:rsidRDefault="00875309" w:rsidP="007D6954">
      <w:pPr>
        <w:pStyle w:val="NurText"/>
        <w:ind w:left="708" w:hanging="708"/>
        <w:rPr>
          <w:rFonts w:ascii="Times New Roman" w:hAnsi="Times New Roman"/>
          <w:szCs w:val="22"/>
        </w:rPr>
      </w:pPr>
    </w:p>
    <w:p w14:paraId="0316DE11" w14:textId="25FC7B23" w:rsidR="006D22E2" w:rsidRDefault="00447CCB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 w:rsidRPr="00A85B9A">
        <w:rPr>
          <w:rFonts w:ascii="Times New Roman" w:hAnsi="Times New Roman"/>
          <w:szCs w:val="22"/>
        </w:rPr>
        <w:t>2</w:t>
      </w:r>
      <w:r w:rsidR="006D22E2" w:rsidRPr="00A85B9A">
        <w:rPr>
          <w:rFonts w:ascii="Times New Roman" w:hAnsi="Times New Roman"/>
          <w:szCs w:val="22"/>
        </w:rPr>
        <w:t>.</w:t>
      </w:r>
      <w:r w:rsidR="006D22E2" w:rsidRPr="00A85B9A">
        <w:rPr>
          <w:rFonts w:ascii="Times New Roman" w:hAnsi="Times New Roman"/>
          <w:szCs w:val="22"/>
        </w:rPr>
        <w:tab/>
      </w:r>
      <w:r w:rsidR="00022C96">
        <w:rPr>
          <w:rFonts w:ascii="Times New Roman" w:hAnsi="Times New Roman"/>
          <w:szCs w:val="22"/>
        </w:rPr>
        <w:tab/>
      </w:r>
      <w:r w:rsidR="006D22E2" w:rsidRPr="00A85B9A">
        <w:rPr>
          <w:rFonts w:ascii="Times New Roman" w:hAnsi="Times New Roman"/>
          <w:szCs w:val="22"/>
        </w:rPr>
        <w:t xml:space="preserve">Fruchtbares </w:t>
      </w:r>
      <w:r w:rsidR="00953FDA" w:rsidRPr="00A85B9A">
        <w:rPr>
          <w:rFonts w:ascii="Times New Roman" w:hAnsi="Times New Roman"/>
          <w:szCs w:val="22"/>
        </w:rPr>
        <w:t>Zusammenspiel, FAZ vom. 22</w:t>
      </w:r>
      <w:r w:rsidR="006D22E2" w:rsidRPr="00A85B9A">
        <w:rPr>
          <w:rFonts w:ascii="Times New Roman" w:hAnsi="Times New Roman"/>
          <w:szCs w:val="22"/>
        </w:rPr>
        <w:t>. April 2010</w:t>
      </w:r>
      <w:r w:rsidR="00953FDA" w:rsidRPr="00A85B9A">
        <w:rPr>
          <w:rFonts w:ascii="Times New Roman" w:hAnsi="Times New Roman"/>
          <w:szCs w:val="22"/>
        </w:rPr>
        <w:t xml:space="preserve"> = </w:t>
      </w:r>
      <w:r w:rsidR="00E15EB7" w:rsidRPr="00A85B9A">
        <w:rPr>
          <w:rFonts w:ascii="Times New Roman" w:hAnsi="Times New Roman"/>
          <w:szCs w:val="22"/>
        </w:rPr>
        <w:t xml:space="preserve">Fruchtbares Zusammenspiel, </w:t>
      </w:r>
      <w:r w:rsidR="00953FDA" w:rsidRPr="00A85B9A">
        <w:rPr>
          <w:rFonts w:ascii="Times New Roman" w:hAnsi="Times New Roman"/>
          <w:szCs w:val="22"/>
        </w:rPr>
        <w:t>in:</w:t>
      </w:r>
      <w:r w:rsidR="00953FDA">
        <w:rPr>
          <w:rFonts w:ascii="Times New Roman" w:hAnsi="Times New Roman"/>
          <w:szCs w:val="22"/>
        </w:rPr>
        <w:t xml:space="preserve"> Reinhard Müller (Hrsg</w:t>
      </w:r>
      <w:r w:rsidR="006D22E2">
        <w:rPr>
          <w:rFonts w:ascii="Times New Roman" w:hAnsi="Times New Roman"/>
          <w:szCs w:val="22"/>
        </w:rPr>
        <w:t>.</w:t>
      </w:r>
      <w:r w:rsidR="00953FDA">
        <w:rPr>
          <w:rFonts w:ascii="Times New Roman" w:hAnsi="Times New Roman"/>
          <w:szCs w:val="22"/>
        </w:rPr>
        <w:t>), Staat und Recht, 2011, S. 48-51</w:t>
      </w:r>
      <w:r w:rsidR="00E15EB7">
        <w:rPr>
          <w:rFonts w:ascii="Times New Roman" w:hAnsi="Times New Roman"/>
          <w:szCs w:val="22"/>
        </w:rPr>
        <w:t>.</w:t>
      </w:r>
    </w:p>
    <w:p w14:paraId="1F51EBB9" w14:textId="77777777" w:rsidR="00FC392A" w:rsidRDefault="00FC392A" w:rsidP="007D6954">
      <w:pPr>
        <w:pStyle w:val="NurText"/>
        <w:ind w:left="708" w:hanging="708"/>
        <w:rPr>
          <w:rFonts w:ascii="Times New Roman" w:hAnsi="Times New Roman"/>
          <w:szCs w:val="22"/>
        </w:rPr>
      </w:pPr>
    </w:p>
    <w:p w14:paraId="24CCEA5E" w14:textId="620CA4DC" w:rsidR="00FC392A" w:rsidRPr="00A85B9A" w:rsidRDefault="00447CCB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</w:t>
      </w:r>
      <w:r w:rsidR="007D6954" w:rsidRPr="007D6954">
        <w:rPr>
          <w:rFonts w:ascii="Times New Roman" w:hAnsi="Times New Roman"/>
          <w:szCs w:val="22"/>
        </w:rPr>
        <w:t>.</w:t>
      </w:r>
      <w:r w:rsidR="007D6954" w:rsidRPr="007D6954">
        <w:rPr>
          <w:rFonts w:ascii="Times New Roman" w:hAnsi="Times New Roman"/>
          <w:szCs w:val="22"/>
        </w:rPr>
        <w:tab/>
      </w:r>
      <w:r w:rsidR="00022C96">
        <w:rPr>
          <w:rFonts w:ascii="Times New Roman" w:hAnsi="Times New Roman"/>
          <w:szCs w:val="22"/>
        </w:rPr>
        <w:tab/>
      </w:r>
      <w:r w:rsidR="007D6954" w:rsidRPr="00A85B9A">
        <w:rPr>
          <w:rFonts w:ascii="Times New Roman" w:hAnsi="Times New Roman"/>
          <w:szCs w:val="22"/>
        </w:rPr>
        <w:t>Eine echte Marke. Zum Abschied Gunnar Folge Schupperts vom WZB, WZB Mitteilungen 2011, Heft 1343, S. 46-49</w:t>
      </w:r>
      <w:r w:rsidR="00CB5DE9" w:rsidRPr="00A85B9A">
        <w:rPr>
          <w:rFonts w:ascii="Times New Roman" w:hAnsi="Times New Roman"/>
          <w:szCs w:val="22"/>
        </w:rPr>
        <w:t>.</w:t>
      </w:r>
    </w:p>
    <w:p w14:paraId="6447CE48" w14:textId="77777777" w:rsidR="00FC392A" w:rsidRPr="00A85B9A" w:rsidRDefault="00FC392A" w:rsidP="0083696E">
      <w:pPr>
        <w:pStyle w:val="Habil"/>
        <w:tabs>
          <w:tab w:val="left" w:pos="567"/>
        </w:tabs>
        <w:spacing w:line="360" w:lineRule="exact"/>
        <w:rPr>
          <w:rFonts w:ascii="Times New Roman" w:hAnsi="Times New Roman"/>
          <w:szCs w:val="22"/>
        </w:rPr>
      </w:pPr>
    </w:p>
    <w:p w14:paraId="31C19635" w14:textId="1A1D8023" w:rsidR="00FC392A" w:rsidRDefault="00447CCB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 w:rsidRPr="00A85B9A">
        <w:rPr>
          <w:rFonts w:ascii="Times New Roman" w:hAnsi="Times New Roman"/>
          <w:szCs w:val="22"/>
        </w:rPr>
        <w:t>4</w:t>
      </w:r>
      <w:r w:rsidR="00FC392A" w:rsidRPr="00A85B9A">
        <w:rPr>
          <w:rFonts w:ascii="Times New Roman" w:hAnsi="Times New Roman"/>
          <w:szCs w:val="22"/>
        </w:rPr>
        <w:t>.</w:t>
      </w:r>
      <w:r w:rsidR="00FC392A" w:rsidRPr="00A85B9A">
        <w:rPr>
          <w:rFonts w:ascii="Times New Roman" w:hAnsi="Times New Roman"/>
          <w:szCs w:val="22"/>
        </w:rPr>
        <w:tab/>
      </w:r>
      <w:r w:rsidR="00022C96">
        <w:rPr>
          <w:rFonts w:ascii="Times New Roman" w:hAnsi="Times New Roman"/>
          <w:szCs w:val="22"/>
        </w:rPr>
        <w:tab/>
      </w:r>
      <w:r w:rsidR="00FC392A" w:rsidRPr="00A85B9A">
        <w:rPr>
          <w:rFonts w:ascii="Times New Roman" w:hAnsi="Times New Roman"/>
          <w:szCs w:val="22"/>
        </w:rPr>
        <w:t xml:space="preserve">Wir begreifen die Gemeinschaft der Verfassungsgerichte als Lernverbund. Gespräch von D. Gosewinkel und R. </w:t>
      </w:r>
      <w:r w:rsidR="00875309" w:rsidRPr="00A85B9A">
        <w:rPr>
          <w:rFonts w:ascii="Times New Roman" w:hAnsi="Times New Roman"/>
          <w:szCs w:val="22"/>
        </w:rPr>
        <w:t xml:space="preserve">Blomert </w:t>
      </w:r>
      <w:r w:rsidR="00FC392A" w:rsidRPr="00A85B9A">
        <w:rPr>
          <w:rFonts w:ascii="Times New Roman" w:hAnsi="Times New Roman"/>
          <w:szCs w:val="22"/>
        </w:rPr>
        <w:t>mit Andreas Voßkuhle, Le</w:t>
      </w:r>
      <w:r w:rsidR="00875309" w:rsidRPr="00A85B9A">
        <w:rPr>
          <w:rFonts w:ascii="Times New Roman" w:hAnsi="Times New Roman"/>
          <w:szCs w:val="22"/>
        </w:rPr>
        <w:t>viathan 39 (2011), S. 305-314.</w:t>
      </w:r>
    </w:p>
    <w:p w14:paraId="4DE839C2" w14:textId="77777777" w:rsidR="00817436" w:rsidRDefault="00817436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</w:p>
    <w:p w14:paraId="6759037E" w14:textId="4431D34E" w:rsidR="00022C96" w:rsidRPr="00A85B9A" w:rsidRDefault="00022C96" w:rsidP="00022C9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Rede zum Tag der Deutschen Einheit am 3. Oktober 2011 in Bonn</w:t>
      </w:r>
      <w:r w:rsidR="008C4804">
        <w:rPr>
          <w:rFonts w:ascii="Times New Roman" w:hAnsi="Times New Roman"/>
          <w:szCs w:val="22"/>
        </w:rPr>
        <w:t>.</w:t>
      </w:r>
    </w:p>
    <w:p w14:paraId="6AAC3C94" w14:textId="77777777" w:rsidR="00FC392A" w:rsidRDefault="00FC392A" w:rsidP="007D6954">
      <w:pPr>
        <w:pStyle w:val="NurText"/>
        <w:ind w:left="708" w:hanging="708"/>
        <w:rPr>
          <w:rFonts w:ascii="Times New Roman" w:hAnsi="Times New Roman"/>
        </w:rPr>
      </w:pPr>
    </w:p>
    <w:p w14:paraId="5A0994FA" w14:textId="4C3C67E2" w:rsidR="007D6954" w:rsidRPr="0083696E" w:rsidRDefault="0083696E" w:rsidP="0083696E">
      <w:pPr>
        <w:pStyle w:val="NurText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C392A">
        <w:rPr>
          <w:rFonts w:ascii="Times New Roman" w:hAnsi="Times New Roman"/>
        </w:rPr>
        <w:t>.</w:t>
      </w:r>
      <w:r w:rsidR="00FC392A">
        <w:rPr>
          <w:rFonts w:ascii="Times New Roman" w:hAnsi="Times New Roman"/>
        </w:rPr>
        <w:tab/>
      </w:r>
      <w:r w:rsidR="00365634">
        <w:rPr>
          <w:rFonts w:ascii="Times New Roman" w:hAnsi="Times New Roman"/>
        </w:rPr>
        <w:t>Über die Demokratie in Europa, FAZ vom 9. Februar 2012.</w:t>
      </w:r>
    </w:p>
    <w:p w14:paraId="3CA5175B" w14:textId="77777777" w:rsidR="007D6954" w:rsidRDefault="007D6954" w:rsidP="00941B19">
      <w:pPr>
        <w:rPr>
          <w:sz w:val="22"/>
          <w:szCs w:val="22"/>
        </w:rPr>
      </w:pPr>
    </w:p>
    <w:p w14:paraId="247DE46A" w14:textId="5A8966E1" w:rsidR="00A44436" w:rsidRPr="00941B19" w:rsidRDefault="0083696E" w:rsidP="00941B19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A7E95">
        <w:rPr>
          <w:sz w:val="22"/>
          <w:szCs w:val="22"/>
        </w:rPr>
        <w:t>.</w:t>
      </w:r>
      <w:r w:rsidR="006A7E95">
        <w:rPr>
          <w:sz w:val="22"/>
          <w:szCs w:val="22"/>
        </w:rPr>
        <w:tab/>
      </w:r>
      <w:r w:rsidR="00941B19" w:rsidRPr="00941B19">
        <w:rPr>
          <w:sz w:val="22"/>
          <w:szCs w:val="22"/>
        </w:rPr>
        <w:t>Kritischer Journalismus als öffentliche Aufgabe, in: epd medien 2013, S. 31-36.</w:t>
      </w:r>
    </w:p>
    <w:p w14:paraId="0CB06EA2" w14:textId="77777777" w:rsidR="00941B19" w:rsidRDefault="00941B19" w:rsidP="00941B19">
      <w:pPr>
        <w:pStyle w:val="Habil"/>
        <w:tabs>
          <w:tab w:val="left" w:pos="567"/>
        </w:tabs>
        <w:spacing w:line="360" w:lineRule="exact"/>
        <w:ind w:left="567" w:hanging="567"/>
        <w:rPr>
          <w:szCs w:val="22"/>
        </w:rPr>
      </w:pPr>
    </w:p>
    <w:p w14:paraId="6790F233" w14:textId="08381A9C" w:rsidR="00941B19" w:rsidRPr="006A7E95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="00941B19" w:rsidRPr="006A7E95">
        <w:rPr>
          <w:rFonts w:ascii="Times New Roman" w:hAnsi="Times New Roman"/>
          <w:szCs w:val="22"/>
        </w:rPr>
        <w:t>.</w:t>
      </w:r>
      <w:r w:rsidR="00941B19" w:rsidRPr="006A7E95">
        <w:rPr>
          <w:rFonts w:ascii="Times New Roman" w:hAnsi="Times New Roman"/>
          <w:szCs w:val="22"/>
        </w:rPr>
        <w:tab/>
      </w:r>
      <w:r w:rsidR="006A7E95">
        <w:rPr>
          <w:rFonts w:ascii="Times New Roman" w:hAnsi="Times New Roman"/>
          <w:szCs w:val="22"/>
        </w:rPr>
        <w:tab/>
      </w:r>
      <w:r w:rsidR="00941B19" w:rsidRPr="006A7E95">
        <w:rPr>
          <w:rFonts w:ascii="Times New Roman" w:hAnsi="Times New Roman"/>
          <w:szCs w:val="22"/>
        </w:rPr>
        <w:t xml:space="preserve">Vorwort, in: Ronen Steinke, Fritz Bauer oder Auschwitz vor Gericht, 2013, Piper Verlag, </w:t>
      </w:r>
      <w:r w:rsidR="00941B19" w:rsidRPr="006A7E95">
        <w:rPr>
          <w:rFonts w:ascii="Times New Roman" w:hAnsi="Times New Roman"/>
          <w:szCs w:val="22"/>
        </w:rPr>
        <w:tab/>
        <w:t>München/Zürich, S. 9-11.</w:t>
      </w:r>
    </w:p>
    <w:p w14:paraId="3EA874F4" w14:textId="77777777" w:rsidR="00906538" w:rsidRPr="006A7E95" w:rsidRDefault="00906538" w:rsidP="00906538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5F9B9A18" w14:textId="16D477F2" w:rsidR="006A7E95" w:rsidRPr="00906538" w:rsidRDefault="0083696E" w:rsidP="007D6954">
      <w:pPr>
        <w:pStyle w:val="Habil"/>
        <w:tabs>
          <w:tab w:val="left" w:pos="567"/>
        </w:tabs>
        <w:spacing w:line="36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="00906538">
        <w:rPr>
          <w:rFonts w:ascii="Times New Roman" w:hAnsi="Times New Roman"/>
          <w:szCs w:val="22"/>
        </w:rPr>
        <w:t>.</w:t>
      </w:r>
      <w:r w:rsidR="00906538">
        <w:rPr>
          <w:rFonts w:ascii="Times New Roman" w:hAnsi="Times New Roman"/>
          <w:szCs w:val="22"/>
        </w:rPr>
        <w:tab/>
      </w:r>
      <w:r w:rsidR="00906538">
        <w:rPr>
          <w:rFonts w:ascii="Times New Roman" w:hAnsi="Times New Roman"/>
          <w:szCs w:val="22"/>
        </w:rPr>
        <w:tab/>
      </w:r>
      <w:r w:rsidR="00906538" w:rsidRPr="00906538">
        <w:rPr>
          <w:rFonts w:ascii="Times New Roman" w:hAnsi="Times New Roman"/>
          <w:szCs w:val="22"/>
        </w:rPr>
        <w:t>Was heißt hier gerecht?, in: vorwärts extra Jubiläums-Sonderheft 2/2013, S. 74.</w:t>
      </w:r>
    </w:p>
    <w:p w14:paraId="6F73624F" w14:textId="77777777" w:rsidR="00906538" w:rsidRPr="006A7E95" w:rsidRDefault="00906538" w:rsidP="00906538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388F5780" w14:textId="544CE034" w:rsidR="00BD5185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</w:t>
      </w:r>
      <w:r w:rsidR="00BD5185" w:rsidRPr="006A7E95">
        <w:rPr>
          <w:rFonts w:ascii="Times New Roman" w:hAnsi="Times New Roman"/>
          <w:szCs w:val="22"/>
        </w:rPr>
        <w:t>.</w:t>
      </w:r>
      <w:r w:rsidR="00BD5185" w:rsidRPr="006A7E95">
        <w:rPr>
          <w:rFonts w:ascii="Times New Roman" w:hAnsi="Times New Roman"/>
          <w:szCs w:val="22"/>
        </w:rPr>
        <w:tab/>
      </w:r>
      <w:r w:rsidR="006A7E95">
        <w:rPr>
          <w:rFonts w:ascii="Times New Roman" w:hAnsi="Times New Roman"/>
          <w:szCs w:val="22"/>
        </w:rPr>
        <w:tab/>
      </w:r>
      <w:r w:rsidR="00BD5185" w:rsidRPr="006A7E95">
        <w:rPr>
          <w:rFonts w:ascii="Times New Roman" w:hAnsi="Times New Roman"/>
          <w:szCs w:val="22"/>
        </w:rPr>
        <w:t xml:space="preserve">Mit Recht – für Karlsruhe, in: Klaus E. R. Lindemann (Hrsg.), Heinz Fenrich. </w:t>
      </w:r>
      <w:r w:rsidR="00BD5185" w:rsidRPr="006A7E95">
        <w:rPr>
          <w:rFonts w:ascii="Times New Roman" w:hAnsi="Times New Roman"/>
          <w:szCs w:val="22"/>
        </w:rPr>
        <w:tab/>
      </w:r>
      <w:r w:rsidR="00BD5185" w:rsidRPr="006A7E95">
        <w:rPr>
          <w:rFonts w:ascii="Times New Roman" w:hAnsi="Times New Roman"/>
          <w:szCs w:val="22"/>
        </w:rPr>
        <w:tab/>
        <w:t>Oberbürgermeister der Stadt Karlsruhe, 2013</w:t>
      </w:r>
      <w:r w:rsidR="009562FE">
        <w:rPr>
          <w:rFonts w:ascii="Times New Roman" w:hAnsi="Times New Roman"/>
          <w:szCs w:val="22"/>
        </w:rPr>
        <w:t>,</w:t>
      </w:r>
      <w:r w:rsidR="00BD5185" w:rsidRPr="006A7E95">
        <w:rPr>
          <w:rFonts w:ascii="Times New Roman" w:hAnsi="Times New Roman"/>
          <w:szCs w:val="22"/>
        </w:rPr>
        <w:t xml:space="preserve"> S. 54</w:t>
      </w:r>
      <w:r w:rsidR="007D6954">
        <w:rPr>
          <w:rFonts w:ascii="Times New Roman" w:hAnsi="Times New Roman"/>
          <w:szCs w:val="22"/>
        </w:rPr>
        <w:t xml:space="preserve"> </w:t>
      </w:r>
      <w:r w:rsidR="00BD5185" w:rsidRPr="006A7E95">
        <w:rPr>
          <w:rFonts w:ascii="Times New Roman" w:hAnsi="Times New Roman"/>
          <w:szCs w:val="22"/>
        </w:rPr>
        <w:t>f.</w:t>
      </w:r>
    </w:p>
    <w:p w14:paraId="6E1CAB6E" w14:textId="77777777" w:rsidR="006A7E95" w:rsidRPr="006A7E95" w:rsidRDefault="006A7E95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5CE9844F" w14:textId="1509BC9B" w:rsidR="006A7E95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11</w:t>
      </w:r>
      <w:r w:rsidR="006A7E95" w:rsidRPr="006A7E95">
        <w:rPr>
          <w:rFonts w:ascii="Times New Roman" w:hAnsi="Times New Roman"/>
          <w:szCs w:val="22"/>
        </w:rPr>
        <w:t>.</w:t>
      </w:r>
      <w:r w:rsidR="006A7E95" w:rsidRPr="006A7E95">
        <w:rPr>
          <w:rFonts w:ascii="Times New Roman" w:hAnsi="Times New Roman"/>
          <w:szCs w:val="22"/>
        </w:rPr>
        <w:tab/>
      </w:r>
      <w:r w:rsidR="006A7E95">
        <w:rPr>
          <w:rFonts w:ascii="Times New Roman" w:hAnsi="Times New Roman"/>
          <w:szCs w:val="22"/>
        </w:rPr>
        <w:tab/>
      </w:r>
      <w:r w:rsidR="006A7E95" w:rsidRPr="006A7E95">
        <w:rPr>
          <w:rFonts w:ascii="Times New Roman" w:hAnsi="Times New Roman"/>
          <w:szCs w:val="22"/>
        </w:rPr>
        <w:t xml:space="preserve">Gedenkrede zum Volkstrauertag 2013, in: Volksbund Deutsche Kriegsgräberfürsorge e.V. </w:t>
      </w:r>
      <w:r w:rsidR="006A7E95" w:rsidRPr="006A7E95">
        <w:rPr>
          <w:rFonts w:ascii="Times New Roman" w:hAnsi="Times New Roman"/>
          <w:szCs w:val="22"/>
        </w:rPr>
        <w:tab/>
        <w:t>(Hrsg.), Für die Zukunft Europas, Kassel 2014, S. 31-36.</w:t>
      </w:r>
    </w:p>
    <w:p w14:paraId="0585B387" w14:textId="77777777" w:rsidR="007D6954" w:rsidRDefault="007D6954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7544F9F0" w14:textId="446A1B26" w:rsidR="007D6954" w:rsidRPr="006A7E95" w:rsidRDefault="0083696E" w:rsidP="0083696E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12</w:t>
      </w:r>
      <w:r w:rsidR="007D6954">
        <w:rPr>
          <w:rFonts w:ascii="Times New Roman" w:hAnsi="Times New Roman"/>
          <w:szCs w:val="22"/>
        </w:rPr>
        <w:t>.</w:t>
      </w:r>
      <w:r w:rsidR="007D695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7D6954">
        <w:rPr>
          <w:rFonts w:ascii="Times New Roman" w:hAnsi="Times New Roman"/>
          <w:szCs w:val="22"/>
        </w:rPr>
        <w:t xml:space="preserve">Justiz und Öffentlichkeit - Erfahrungen und Beobachtungen aus Sicht des Bundesverfassungsgerichts, in: Justizministerium Baden-Württemberg (Hrsg.), Live aus dem Gerichtssaal!? Justiz und Öffentlichkeit. 34. Triberger Symposium des Justizministeriums Baden Württemberg vom 5. bis 6. Dezember 2013, 2014, S. 47-55.  </w:t>
      </w:r>
    </w:p>
    <w:p w14:paraId="7235595B" w14:textId="77777777" w:rsidR="00F77C6F" w:rsidRDefault="00F77C6F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03B1EAED" w14:textId="6A63FB45" w:rsidR="006A7E95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13</w:t>
      </w:r>
      <w:r w:rsidR="006A7E95">
        <w:rPr>
          <w:rFonts w:ascii="Times New Roman" w:hAnsi="Times New Roman"/>
          <w:szCs w:val="22"/>
        </w:rPr>
        <w:t>.</w:t>
      </w:r>
      <w:r w:rsidR="006A7E95">
        <w:rPr>
          <w:rFonts w:ascii="Times New Roman" w:hAnsi="Times New Roman"/>
          <w:szCs w:val="22"/>
        </w:rPr>
        <w:tab/>
      </w:r>
      <w:r w:rsidR="006A7E95">
        <w:rPr>
          <w:rFonts w:ascii="Times New Roman" w:hAnsi="Times New Roman"/>
          <w:szCs w:val="22"/>
        </w:rPr>
        <w:tab/>
        <w:t xml:space="preserve">Grußwort, in: Verwaltungsgerichtshof Baden-Württemberg (Hrsg.), Festschrift 150 Jahre </w:t>
      </w:r>
      <w:r w:rsidR="006A7E95">
        <w:rPr>
          <w:rFonts w:ascii="Times New Roman" w:hAnsi="Times New Roman"/>
          <w:szCs w:val="22"/>
        </w:rPr>
        <w:tab/>
        <w:t>Verwaltungsgerichtbarkeit, Boorberg Verlag, Stuttgart u.a., 2014, S. 11-14.</w:t>
      </w:r>
    </w:p>
    <w:p w14:paraId="5B8E4B1B" w14:textId="77777777" w:rsidR="006A7E95" w:rsidRPr="006A7E95" w:rsidRDefault="006A7E95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7CE42FCF" w14:textId="1F2ACC11" w:rsidR="00F77C6F" w:rsidRPr="00057B0A" w:rsidRDefault="0083696E" w:rsidP="006A7E95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14</w:t>
      </w:r>
      <w:r w:rsidR="00F77C6F" w:rsidRPr="00057B0A">
        <w:rPr>
          <w:rFonts w:ascii="Times New Roman" w:hAnsi="Times New Roman"/>
          <w:szCs w:val="22"/>
          <w:lang w:val="en-US"/>
        </w:rPr>
        <w:t>.</w:t>
      </w:r>
      <w:r w:rsidR="00F77C6F" w:rsidRPr="00057B0A">
        <w:rPr>
          <w:rFonts w:ascii="Times New Roman" w:hAnsi="Times New Roman"/>
          <w:szCs w:val="22"/>
          <w:lang w:val="en-US"/>
        </w:rPr>
        <w:tab/>
      </w:r>
      <w:r w:rsidR="006A7E95" w:rsidRPr="00057B0A">
        <w:rPr>
          <w:rFonts w:ascii="Times New Roman" w:hAnsi="Times New Roman"/>
          <w:szCs w:val="22"/>
          <w:lang w:val="en-US"/>
        </w:rPr>
        <w:tab/>
        <w:t>Preface, in: Mary Arden, Human rights an</w:t>
      </w:r>
      <w:r w:rsidR="00CB5DE9">
        <w:rPr>
          <w:rFonts w:ascii="Times New Roman" w:hAnsi="Times New Roman"/>
          <w:szCs w:val="22"/>
          <w:lang w:val="en-US"/>
        </w:rPr>
        <w:t>d European Law. Building new leg</w:t>
      </w:r>
      <w:r w:rsidR="006A7E95" w:rsidRPr="00057B0A">
        <w:rPr>
          <w:rFonts w:ascii="Times New Roman" w:hAnsi="Times New Roman"/>
          <w:szCs w:val="22"/>
          <w:lang w:val="en-US"/>
        </w:rPr>
        <w:t xml:space="preserve">al orders, </w:t>
      </w:r>
      <w:r w:rsidR="006A7E95" w:rsidRPr="00057B0A">
        <w:rPr>
          <w:rFonts w:ascii="Times New Roman" w:hAnsi="Times New Roman"/>
          <w:szCs w:val="22"/>
          <w:lang w:val="en-US"/>
        </w:rPr>
        <w:tab/>
        <w:t>Oxford University Press, Oxford, 2015, S. 256</w:t>
      </w:r>
      <w:r w:rsidR="000659C2">
        <w:rPr>
          <w:rFonts w:ascii="Times New Roman" w:hAnsi="Times New Roman"/>
          <w:szCs w:val="22"/>
          <w:lang w:val="en-US"/>
        </w:rPr>
        <w:t xml:space="preserve"> </w:t>
      </w:r>
      <w:r w:rsidR="006A7E95" w:rsidRPr="00057B0A">
        <w:rPr>
          <w:rFonts w:ascii="Times New Roman" w:hAnsi="Times New Roman"/>
          <w:szCs w:val="22"/>
          <w:lang w:val="en-US"/>
        </w:rPr>
        <w:t>f.</w:t>
      </w:r>
    </w:p>
    <w:p w14:paraId="590B12B5" w14:textId="77777777" w:rsidR="00BD5185" w:rsidRPr="00057B0A" w:rsidRDefault="00BD5185" w:rsidP="00906538">
      <w:pPr>
        <w:pStyle w:val="Habil"/>
        <w:tabs>
          <w:tab w:val="left" w:pos="567"/>
        </w:tabs>
        <w:spacing w:line="360" w:lineRule="exact"/>
        <w:ind w:left="567" w:hanging="567"/>
        <w:rPr>
          <w:szCs w:val="22"/>
          <w:lang w:val="en-US"/>
        </w:rPr>
      </w:pPr>
    </w:p>
    <w:p w14:paraId="18D982FF" w14:textId="7A568F48" w:rsidR="00906538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15</w:t>
      </w:r>
      <w:r w:rsidR="00BD5185">
        <w:rPr>
          <w:rFonts w:ascii="Times New Roman" w:hAnsi="Times New Roman"/>
          <w:szCs w:val="22"/>
        </w:rPr>
        <w:t>.</w:t>
      </w:r>
      <w:r w:rsidR="00BD5185">
        <w:rPr>
          <w:rFonts w:ascii="Times New Roman" w:hAnsi="Times New Roman"/>
          <w:szCs w:val="22"/>
        </w:rPr>
        <w:tab/>
      </w:r>
      <w:r w:rsidR="00305E29">
        <w:rPr>
          <w:rFonts w:ascii="Times New Roman" w:hAnsi="Times New Roman"/>
          <w:szCs w:val="22"/>
        </w:rPr>
        <w:tab/>
      </w:r>
      <w:r w:rsidR="00BD5185">
        <w:rPr>
          <w:rFonts w:ascii="Times New Roman" w:hAnsi="Times New Roman"/>
          <w:szCs w:val="22"/>
        </w:rPr>
        <w:t xml:space="preserve">„Wir leben in einem europäischen Gerichtsverbund“, Gespräch mit Rudolf Gerhardt, ZRP </w:t>
      </w:r>
      <w:r w:rsidR="00305E29">
        <w:rPr>
          <w:rFonts w:ascii="Times New Roman" w:hAnsi="Times New Roman"/>
          <w:szCs w:val="22"/>
        </w:rPr>
        <w:tab/>
      </w:r>
      <w:r w:rsidR="00BD5185">
        <w:rPr>
          <w:rFonts w:ascii="Times New Roman" w:hAnsi="Times New Roman"/>
          <w:szCs w:val="22"/>
        </w:rPr>
        <w:t>2015, S. 61.</w:t>
      </w:r>
    </w:p>
    <w:p w14:paraId="6B8330EC" w14:textId="77777777" w:rsidR="000659C2" w:rsidRDefault="000659C2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22F8C818" w14:textId="60FC989F" w:rsidR="000659C2" w:rsidRPr="00FC392A" w:rsidRDefault="0083696E" w:rsidP="00817436">
      <w:pPr>
        <w:pStyle w:val="Habil"/>
        <w:tabs>
          <w:tab w:val="left" w:pos="567"/>
        </w:tabs>
        <w:spacing w:line="360" w:lineRule="exact"/>
        <w:ind w:left="700" w:hanging="7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16</w:t>
      </w:r>
      <w:r w:rsidR="000659C2" w:rsidRPr="00642B02">
        <w:rPr>
          <w:rFonts w:ascii="Times New Roman" w:hAnsi="Times New Roman"/>
          <w:szCs w:val="22"/>
          <w:lang w:val="en-US"/>
        </w:rPr>
        <w:t>.</w:t>
      </w:r>
      <w:r w:rsidR="000659C2" w:rsidRPr="00642B02">
        <w:rPr>
          <w:rFonts w:ascii="Times New Roman" w:hAnsi="Times New Roman"/>
          <w:szCs w:val="22"/>
          <w:lang w:val="en-US"/>
        </w:rPr>
        <w:tab/>
      </w:r>
      <w:r w:rsidR="00817436">
        <w:rPr>
          <w:rFonts w:ascii="Times New Roman" w:hAnsi="Times New Roman"/>
          <w:szCs w:val="22"/>
          <w:lang w:val="en-US"/>
        </w:rPr>
        <w:tab/>
      </w:r>
      <w:r w:rsidR="000659C2" w:rsidRPr="00642B02">
        <w:rPr>
          <w:rFonts w:ascii="Times New Roman" w:hAnsi="Times New Roman"/>
          <w:szCs w:val="22"/>
          <w:lang w:val="en-US"/>
        </w:rPr>
        <w:t xml:space="preserve">Laudatio auf Vassilios Skouris, in: </w:t>
      </w:r>
      <w:r w:rsidR="00642B02" w:rsidRPr="00642B02">
        <w:rPr>
          <w:rFonts w:ascii="Times New Roman" w:hAnsi="Times New Roman"/>
          <w:szCs w:val="22"/>
          <w:lang w:val="en-US"/>
        </w:rPr>
        <w:t xml:space="preserve">La Cour de justice de </w:t>
      </w:r>
      <w:r w:rsidR="00642B02">
        <w:rPr>
          <w:rFonts w:ascii="Times New Roman" w:hAnsi="Times New Roman"/>
          <w:szCs w:val="22"/>
          <w:lang w:val="en-US"/>
        </w:rPr>
        <w:t>l`</w:t>
      </w:r>
      <w:r w:rsidR="00642B02" w:rsidRPr="00642B02">
        <w:rPr>
          <w:rFonts w:ascii="Times New Roman" w:hAnsi="Times New Roman"/>
          <w:szCs w:val="22"/>
          <w:lang w:val="en-US"/>
        </w:rPr>
        <w:t xml:space="preserve"> Union europ</w:t>
      </w:r>
      <w:r w:rsidR="00642B02">
        <w:rPr>
          <w:rFonts w:ascii="Times New Roman" w:hAnsi="Times New Roman"/>
          <w:szCs w:val="22"/>
          <w:lang w:val="en-US"/>
        </w:rPr>
        <w:t xml:space="preserve">éenne sous la présidence de Vassilios Skouris (2003-2015. </w:t>
      </w:r>
      <w:r w:rsidR="00642B02" w:rsidRPr="00FC392A">
        <w:rPr>
          <w:rFonts w:ascii="Times New Roman" w:hAnsi="Times New Roman"/>
          <w:szCs w:val="22"/>
        </w:rPr>
        <w:t>Liber micorum Vassilios Skouris), Luxembourg, 2015, S. 12-15.</w:t>
      </w:r>
    </w:p>
    <w:p w14:paraId="3D210C06" w14:textId="77777777" w:rsidR="00345858" w:rsidRPr="00FC392A" w:rsidRDefault="00345858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37D70AB6" w14:textId="1D3B791A" w:rsidR="00C70021" w:rsidRPr="00FC392A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17</w:t>
      </w:r>
      <w:r w:rsidR="00C70021" w:rsidRPr="00FC392A">
        <w:rPr>
          <w:rFonts w:ascii="Times New Roman" w:hAnsi="Times New Roman"/>
          <w:szCs w:val="22"/>
        </w:rPr>
        <w:t>.</w:t>
      </w:r>
      <w:r w:rsidR="00C70021" w:rsidRPr="00FC392A">
        <w:rPr>
          <w:rFonts w:ascii="Times New Roman" w:hAnsi="Times New Roman"/>
          <w:szCs w:val="22"/>
        </w:rPr>
        <w:tab/>
        <w:t>Glückwunsch. Ein liberaler Staatsrechtslehrer. Zum 80. Geburtstag von Prof. Dr. Reiner Schmidt, AöR 141 (2016), S. 449-455.</w:t>
      </w:r>
    </w:p>
    <w:p w14:paraId="4FC2BB5D" w14:textId="77777777" w:rsidR="003D33F1" w:rsidRPr="00FC392A" w:rsidRDefault="003D33F1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7C9AB10E" w14:textId="0B63B62D" w:rsidR="003D33F1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18</w:t>
      </w:r>
      <w:r w:rsidR="003D33F1" w:rsidRPr="00FC392A">
        <w:rPr>
          <w:rFonts w:ascii="Times New Roman" w:hAnsi="Times New Roman"/>
          <w:szCs w:val="22"/>
        </w:rPr>
        <w:t>.</w:t>
      </w:r>
      <w:r w:rsidR="003D33F1" w:rsidRPr="00FC392A">
        <w:rPr>
          <w:rFonts w:ascii="Times New Roman" w:hAnsi="Times New Roman"/>
          <w:szCs w:val="22"/>
        </w:rPr>
        <w:tab/>
        <w:t>Gespräch mit Andreas Voßkuhle, in: Utz Schliesky (Hrsg.), Gespräche über den Staat, München 2017, S. 234-262.</w:t>
      </w:r>
    </w:p>
    <w:p w14:paraId="558750DC" w14:textId="77777777" w:rsidR="00875309" w:rsidRDefault="00875309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4335DB9E" w14:textId="2BC18DCD" w:rsidR="00875309" w:rsidRPr="00FC392A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19</w:t>
      </w:r>
      <w:r w:rsidR="00875309">
        <w:rPr>
          <w:rFonts w:ascii="Times New Roman" w:hAnsi="Times New Roman"/>
          <w:szCs w:val="22"/>
        </w:rPr>
        <w:t>.</w:t>
      </w:r>
      <w:r w:rsidR="00875309">
        <w:rPr>
          <w:rFonts w:ascii="Times New Roman" w:hAnsi="Times New Roman"/>
          <w:szCs w:val="22"/>
        </w:rPr>
        <w:tab/>
        <w:t>Wissenschaftsfreiheit im Spiegel der Verfassung. Vortrag anlässlich des Akademischen Festaktes der Justus-Liebig-Universität Gießen am 25. November 2016, Gießener Universitätsblätter 2017, S. 39-45.</w:t>
      </w:r>
    </w:p>
    <w:p w14:paraId="0437121F" w14:textId="77777777" w:rsidR="00365634" w:rsidRPr="00FC392A" w:rsidRDefault="00365634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4FBEDAF2" w14:textId="62E0824C" w:rsidR="00365634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</w:t>
      </w:r>
      <w:r w:rsidR="00365634" w:rsidRPr="00FC392A">
        <w:rPr>
          <w:rFonts w:ascii="Times New Roman" w:hAnsi="Times New Roman"/>
          <w:szCs w:val="22"/>
        </w:rPr>
        <w:t>.</w:t>
      </w:r>
      <w:r w:rsidR="00365634" w:rsidRPr="00FC392A">
        <w:rPr>
          <w:rFonts w:ascii="Times New Roman" w:hAnsi="Times New Roman"/>
          <w:szCs w:val="22"/>
        </w:rPr>
        <w:tab/>
        <w:t xml:space="preserve">Demokratie und Populismus, FAZ v. 23. </w:t>
      </w:r>
      <w:r w:rsidR="00365634" w:rsidRPr="00875309">
        <w:rPr>
          <w:rFonts w:ascii="Times New Roman" w:hAnsi="Times New Roman"/>
          <w:szCs w:val="22"/>
        </w:rPr>
        <w:t>November 2017.</w:t>
      </w:r>
    </w:p>
    <w:p w14:paraId="3D370853" w14:textId="77777777" w:rsidR="00110554" w:rsidRDefault="00110554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0347276E" w14:textId="6C9EE3EC" w:rsidR="00110554" w:rsidRPr="00875309" w:rsidRDefault="0083696E" w:rsidP="00A44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21</w:t>
      </w:r>
      <w:r w:rsidR="00110554">
        <w:rPr>
          <w:rFonts w:ascii="Times New Roman" w:hAnsi="Times New Roman"/>
          <w:szCs w:val="22"/>
        </w:rPr>
        <w:t>.</w:t>
      </w:r>
      <w:r w:rsidR="00110554">
        <w:rPr>
          <w:rFonts w:ascii="Times New Roman" w:hAnsi="Times New Roman"/>
          <w:szCs w:val="22"/>
        </w:rPr>
        <w:tab/>
        <w:t>Einheit statt Vielfalt. Warum tun wir uns mit föderalen Strukturen und dem Grundsatz der Subsidiarität so schwer?, in: Ralf Fücks/Thomas Schmid (Hrsg.), Gegenverkehr. Demokratische Öffentlichkeit neu denken, Tübingen 2018, S. 41-48.</w:t>
      </w:r>
    </w:p>
    <w:p w14:paraId="514AF823" w14:textId="77777777" w:rsidR="00A85B9A" w:rsidRDefault="00A85B9A" w:rsidP="00A85B9A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FC3379A" w14:textId="77777777" w:rsidR="00DA4E12" w:rsidRDefault="00A85B9A" w:rsidP="00DA4E1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</w:t>
      </w:r>
      <w:r w:rsidR="0083696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Grußwort zum Jahresempfang 2018 Forum Kirche und Recht, in: epd Nr. 22 (2018), S. 6 f.</w:t>
      </w:r>
    </w:p>
    <w:p w14:paraId="6095AEBF" w14:textId="77777777" w:rsidR="00DA4E12" w:rsidRDefault="00DA4E12" w:rsidP="00DA4E1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7C1556EB" w14:textId="695DD164" w:rsidR="00A85B9A" w:rsidRDefault="00DA4E12" w:rsidP="00DA4E1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23.</w:t>
      </w:r>
      <w:r>
        <w:rPr>
          <w:rFonts w:ascii="Times New Roman" w:hAnsi="Times New Roman"/>
          <w:szCs w:val="22"/>
        </w:rPr>
        <w:tab/>
      </w:r>
      <w:r w:rsidR="00A85B9A">
        <w:rPr>
          <w:rFonts w:ascii="Times New Roman" w:hAnsi="Times New Roman"/>
          <w:szCs w:val="22"/>
        </w:rPr>
        <w:t>Rechtssta</w:t>
      </w:r>
      <w:r w:rsidR="008729B8">
        <w:rPr>
          <w:rFonts w:ascii="Times New Roman" w:hAnsi="Times New Roman"/>
          <w:szCs w:val="22"/>
        </w:rPr>
        <w:t>at unter Druck, Die Zeit Nr. 40</w:t>
      </w:r>
      <w:r w:rsidR="00A85B9A">
        <w:rPr>
          <w:rFonts w:ascii="Times New Roman" w:hAnsi="Times New Roman"/>
          <w:szCs w:val="22"/>
        </w:rPr>
        <w:t xml:space="preserve"> v. 27. September 2018, S. 2.</w:t>
      </w:r>
    </w:p>
    <w:p w14:paraId="3EAF66B7" w14:textId="77777777" w:rsidR="008C4804" w:rsidRDefault="008C4804" w:rsidP="00DA4E12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C2B1FB6" w14:textId="6A045B5C" w:rsidR="00DA4E12" w:rsidRDefault="008C4804" w:rsidP="008C4804">
      <w:pPr>
        <w:pStyle w:val="Habil"/>
        <w:tabs>
          <w:tab w:val="left" w:pos="567"/>
        </w:tabs>
        <w:spacing w:line="36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24.</w:t>
      </w:r>
      <w:r>
        <w:rPr>
          <w:rFonts w:ascii="Times New Roman" w:hAnsi="Times New Roman"/>
          <w:szCs w:val="22"/>
        </w:rPr>
        <w:tab/>
      </w:r>
      <w:r w:rsidR="00DA4E12">
        <w:rPr>
          <w:rFonts w:ascii="Times New Roman" w:hAnsi="Times New Roman"/>
          <w:szCs w:val="22"/>
        </w:rPr>
        <w:t>Unser Grundgesetz – unsere Zukunft: Ein Plädoyer für den Rechtsstaat, NJW 2019, S. 3.</w:t>
      </w:r>
    </w:p>
    <w:p w14:paraId="3E170CE3" w14:textId="77777777" w:rsidR="00817436" w:rsidRPr="00875309" w:rsidRDefault="00817436" w:rsidP="00817436">
      <w:pPr>
        <w:pStyle w:val="Habil"/>
        <w:tabs>
          <w:tab w:val="left" w:pos="567"/>
        </w:tabs>
        <w:spacing w:line="360" w:lineRule="exact"/>
        <w:rPr>
          <w:rFonts w:ascii="Times New Roman" w:hAnsi="Times New Roman"/>
          <w:szCs w:val="22"/>
        </w:rPr>
      </w:pPr>
    </w:p>
    <w:p w14:paraId="7A553DB7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332D9A8E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778F03D6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280A73E1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 w:val="28"/>
          <w:szCs w:val="28"/>
        </w:rPr>
      </w:pPr>
      <w:r w:rsidRPr="00DD4044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</w:rPr>
        <w:t>I</w:t>
      </w:r>
      <w:r w:rsidRPr="00DD4044">
        <w:rPr>
          <w:rFonts w:ascii="Times New Roman" w:hAnsi="Times New Roman"/>
          <w:b/>
          <w:sz w:val="28"/>
          <w:szCs w:val="28"/>
        </w:rPr>
        <w:t>.</w:t>
      </w:r>
      <w:r w:rsidRPr="00DD404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Herausgeberschaft bei Periodika</w:t>
      </w:r>
    </w:p>
    <w:p w14:paraId="340C5402" w14:textId="77777777" w:rsidR="00817436" w:rsidRPr="00607DC3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b/>
          <w:szCs w:val="22"/>
        </w:rPr>
      </w:pPr>
    </w:p>
    <w:p w14:paraId="57FF9F53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 w:rsidRPr="00E14CCD">
        <w:rPr>
          <w:rFonts w:ascii="Times New Roman" w:hAnsi="Times New Roman"/>
          <w:szCs w:val="22"/>
        </w:rPr>
        <w:t>1.</w:t>
      </w:r>
      <w:r w:rsidRPr="00E14CCD">
        <w:rPr>
          <w:rFonts w:ascii="Times New Roman" w:hAnsi="Times New Roman"/>
          <w:szCs w:val="22"/>
        </w:rPr>
        <w:tab/>
        <w:t>Mitherausgeber der Zeitschrift „DER STAAT“</w:t>
      </w:r>
      <w:r>
        <w:rPr>
          <w:rFonts w:ascii="Times New Roman" w:hAnsi="Times New Roman"/>
          <w:szCs w:val="22"/>
        </w:rPr>
        <w:t xml:space="preserve"> (seit 2002)</w:t>
      </w:r>
      <w:r w:rsidRPr="00E14CCD">
        <w:rPr>
          <w:rFonts w:ascii="Times New Roman" w:hAnsi="Times New Roman"/>
          <w:szCs w:val="22"/>
        </w:rPr>
        <w:t>.</w:t>
      </w:r>
    </w:p>
    <w:p w14:paraId="049021C0" w14:textId="77777777" w:rsidR="00817436" w:rsidRPr="00E14CCD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286B7A20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 w:rsidRPr="00E14CCD">
        <w:rPr>
          <w:rFonts w:ascii="Times New Roman" w:hAnsi="Times New Roman"/>
          <w:szCs w:val="22"/>
        </w:rPr>
        <w:t>2.</w:t>
      </w:r>
      <w:r w:rsidRPr="00E14CCD">
        <w:rPr>
          <w:rFonts w:ascii="Times New Roman" w:hAnsi="Times New Roman"/>
          <w:szCs w:val="22"/>
        </w:rPr>
        <w:tab/>
        <w:t>Mitherausgeber der Zeitschrift „Juristische Schulung (JuS)“</w:t>
      </w:r>
      <w:r>
        <w:rPr>
          <w:rFonts w:ascii="Times New Roman" w:hAnsi="Times New Roman"/>
          <w:szCs w:val="22"/>
        </w:rPr>
        <w:t xml:space="preserve"> (seit 2003)</w:t>
      </w:r>
      <w:r w:rsidRPr="00E14CCD">
        <w:rPr>
          <w:rFonts w:ascii="Times New Roman" w:hAnsi="Times New Roman"/>
          <w:szCs w:val="22"/>
        </w:rPr>
        <w:t>.</w:t>
      </w:r>
    </w:p>
    <w:p w14:paraId="3E38DA05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2610B4BB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Cs w:val="22"/>
        </w:rPr>
        <w:tab/>
        <w:t>Mitherausgeber der Zeitschrift „Gewerbearchiv“ (seit 2007).</w:t>
      </w:r>
    </w:p>
    <w:p w14:paraId="69F22546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098CE93E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4.</w:t>
      </w:r>
      <w:r>
        <w:rPr>
          <w:rFonts w:ascii="Times New Roman" w:hAnsi="Times New Roman"/>
          <w:szCs w:val="22"/>
        </w:rPr>
        <w:tab/>
        <w:t>Mitherausgeber der Schriftenreihe „Neue Schriften zum Staatsrecht“, NOMOS-Verlag (zusammen mit Philip Kunig und Gerhard Robbers).</w:t>
      </w:r>
    </w:p>
    <w:p w14:paraId="7DDC97D5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2B9BBF2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</w:t>
      </w:r>
      <w:r>
        <w:rPr>
          <w:rFonts w:ascii="Times New Roman" w:hAnsi="Times New Roman"/>
          <w:szCs w:val="22"/>
        </w:rPr>
        <w:tab/>
        <w:t>Mitherausgeber der Schriftenreihe „Neue Schriften zur Verwaltungsrechtswissenschaft“, NOMOS-Verlag (zusammen mit Martin Burgi und Friedrich Schoch).</w:t>
      </w:r>
    </w:p>
    <w:p w14:paraId="7A6BE63D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86C9C43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6.</w:t>
      </w:r>
      <w:r>
        <w:rPr>
          <w:rFonts w:ascii="Times New Roman" w:hAnsi="Times New Roman"/>
          <w:szCs w:val="22"/>
        </w:rPr>
        <w:tab/>
        <w:t>Mitherausgeber der Kritischen Vierteljahreszeitschrift für Gesetzgebung und Rechtswissenschaft (seit 2008)</w:t>
      </w:r>
    </w:p>
    <w:p w14:paraId="19B3719C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141A3B27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</w:t>
      </w:r>
      <w:r>
        <w:rPr>
          <w:rFonts w:ascii="Times New Roman" w:hAnsi="Times New Roman"/>
          <w:szCs w:val="22"/>
        </w:rPr>
        <w:tab/>
        <w:t>Mitherausgeber der „Schriften zur Rechtstatsachenforschung“ Duncker &amp; Humblot (zusammen mit Manfred Rehbinder).</w:t>
      </w:r>
    </w:p>
    <w:p w14:paraId="4D5BF39A" w14:textId="77777777" w:rsidR="00817436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p w14:paraId="5B9D29C5" w14:textId="77777777" w:rsidR="00817436" w:rsidRPr="00E14CCD" w:rsidRDefault="00817436" w:rsidP="00817436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</w:t>
      </w:r>
      <w:r>
        <w:rPr>
          <w:rFonts w:ascii="Times New Roman" w:hAnsi="Times New Roman"/>
          <w:szCs w:val="22"/>
        </w:rPr>
        <w:tab/>
        <w:t>Mitherausgeber der Schriftenreihe „Recht – Wissenschaft – Theorie“, Mohr Siebeck (zusammen mit Matthias Jestaedt, Oliver Lepsius und Christoph Möllers).</w:t>
      </w:r>
    </w:p>
    <w:p w14:paraId="375847B4" w14:textId="77777777" w:rsidR="00817436" w:rsidRDefault="00817436" w:rsidP="00817436">
      <w:pPr>
        <w:pStyle w:val="Habil"/>
        <w:tabs>
          <w:tab w:val="left" w:pos="567"/>
        </w:tabs>
        <w:spacing w:line="32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50C395C3" w14:textId="77777777" w:rsidR="00817436" w:rsidRDefault="00817436" w:rsidP="00817436">
      <w:pPr>
        <w:pStyle w:val="Habil"/>
        <w:tabs>
          <w:tab w:val="left" w:pos="567"/>
        </w:tabs>
        <w:spacing w:line="320" w:lineRule="exact"/>
        <w:ind w:left="567" w:hanging="567"/>
        <w:rPr>
          <w:rFonts w:ascii="Times New Roman" w:hAnsi="Times New Roman"/>
          <w:b/>
          <w:sz w:val="28"/>
          <w:szCs w:val="28"/>
        </w:rPr>
      </w:pPr>
    </w:p>
    <w:p w14:paraId="59B463F7" w14:textId="77777777" w:rsidR="00A85B9A" w:rsidRPr="00875309" w:rsidRDefault="00A85B9A" w:rsidP="00A85B9A">
      <w:pPr>
        <w:pStyle w:val="Habil"/>
        <w:tabs>
          <w:tab w:val="left" w:pos="567"/>
        </w:tabs>
        <w:spacing w:line="360" w:lineRule="exact"/>
        <w:ind w:left="567" w:hanging="567"/>
        <w:rPr>
          <w:rFonts w:ascii="Times New Roman" w:hAnsi="Times New Roman"/>
          <w:szCs w:val="22"/>
        </w:rPr>
      </w:pPr>
    </w:p>
    <w:sectPr w:rsidR="00A85B9A" w:rsidRPr="00875309" w:rsidSect="00923E43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701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43CC" w14:textId="77777777" w:rsidR="00B010F0" w:rsidRDefault="00B010F0">
      <w:r>
        <w:separator/>
      </w:r>
    </w:p>
  </w:endnote>
  <w:endnote w:type="continuationSeparator" w:id="0">
    <w:p w14:paraId="4B2AE8C2" w14:textId="77777777" w:rsidR="00B010F0" w:rsidRDefault="00B0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1D2F" w14:textId="77777777" w:rsidR="00B010F0" w:rsidRDefault="00B010F0" w:rsidP="00CD18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DDA309" w14:textId="77777777" w:rsidR="00B010F0" w:rsidRDefault="00B010F0" w:rsidP="00CD183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E014" w14:textId="7592DCC1" w:rsidR="00B010F0" w:rsidRDefault="00B010F0" w:rsidP="00CD18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78FA">
      <w:rPr>
        <w:rStyle w:val="Seitenzahl"/>
        <w:noProof/>
      </w:rPr>
      <w:t>2</w:t>
    </w:r>
    <w:r>
      <w:rPr>
        <w:rStyle w:val="Seitenzahl"/>
      </w:rPr>
      <w:fldChar w:fldCharType="end"/>
    </w:r>
  </w:p>
  <w:p w14:paraId="0B9750EF" w14:textId="77777777" w:rsidR="00B010F0" w:rsidRDefault="00B010F0" w:rsidP="00CD183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BC34" w14:textId="77777777" w:rsidR="00B010F0" w:rsidRDefault="00B010F0">
      <w:r>
        <w:separator/>
      </w:r>
    </w:p>
  </w:footnote>
  <w:footnote w:type="continuationSeparator" w:id="0">
    <w:p w14:paraId="0F817BC9" w14:textId="77777777" w:rsidR="00B010F0" w:rsidRDefault="00B0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D706" w14:textId="77777777" w:rsidR="00B010F0" w:rsidRDefault="00B010F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230BBA" w14:textId="77777777" w:rsidR="00B010F0" w:rsidRDefault="00B010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F19A" w14:textId="5AD3A914" w:rsidR="00B010F0" w:rsidRDefault="00B010F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78FA">
      <w:rPr>
        <w:rStyle w:val="Seitenzahl"/>
        <w:noProof/>
      </w:rPr>
      <w:t>2</w:t>
    </w:r>
    <w:r>
      <w:rPr>
        <w:rStyle w:val="Seitenzahl"/>
      </w:rPr>
      <w:fldChar w:fldCharType="end"/>
    </w:r>
  </w:p>
  <w:p w14:paraId="2D207863" w14:textId="77777777" w:rsidR="00B010F0" w:rsidRDefault="00B010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882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86C89"/>
    <w:multiLevelType w:val="hybridMultilevel"/>
    <w:tmpl w:val="5062124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694B"/>
    <w:multiLevelType w:val="hybridMultilevel"/>
    <w:tmpl w:val="98A2EF04"/>
    <w:lvl w:ilvl="0" w:tplc="A740DD76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838B5"/>
    <w:multiLevelType w:val="hybridMultilevel"/>
    <w:tmpl w:val="D50E3084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1295E"/>
    <w:multiLevelType w:val="hybridMultilevel"/>
    <w:tmpl w:val="9D22B6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D7876"/>
    <w:multiLevelType w:val="hybridMultilevel"/>
    <w:tmpl w:val="1BFAC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4994"/>
    <w:multiLevelType w:val="hybridMultilevel"/>
    <w:tmpl w:val="4B209B5C"/>
    <w:lvl w:ilvl="0" w:tplc="0407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74441"/>
    <w:multiLevelType w:val="hybridMultilevel"/>
    <w:tmpl w:val="5AC6CA06"/>
    <w:lvl w:ilvl="0" w:tplc="3920CA8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C7A45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C2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20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67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E6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0E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A8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440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54547"/>
    <w:multiLevelType w:val="hybridMultilevel"/>
    <w:tmpl w:val="D714D13E"/>
    <w:lvl w:ilvl="0" w:tplc="1B482046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B7A16"/>
    <w:multiLevelType w:val="hybridMultilevel"/>
    <w:tmpl w:val="6D0E20A4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87F06"/>
    <w:multiLevelType w:val="hybridMultilevel"/>
    <w:tmpl w:val="905A5B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22A84"/>
    <w:multiLevelType w:val="hybridMultilevel"/>
    <w:tmpl w:val="34F4D1DC"/>
    <w:lvl w:ilvl="0" w:tplc="2688928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4720E"/>
    <w:multiLevelType w:val="hybridMultilevel"/>
    <w:tmpl w:val="9586D008"/>
    <w:lvl w:ilvl="0" w:tplc="1B482046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1921"/>
    <w:multiLevelType w:val="hybridMultilevel"/>
    <w:tmpl w:val="A9E42CA2"/>
    <w:lvl w:ilvl="0" w:tplc="87F2C68E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A1809"/>
    <w:multiLevelType w:val="hybridMultilevel"/>
    <w:tmpl w:val="2FAE8068"/>
    <w:lvl w:ilvl="0" w:tplc="B1407DBC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274A1"/>
    <w:multiLevelType w:val="hybridMultilevel"/>
    <w:tmpl w:val="7D6AB5DE"/>
    <w:lvl w:ilvl="0" w:tplc="0407000F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2861344"/>
    <w:multiLevelType w:val="hybridMultilevel"/>
    <w:tmpl w:val="A4585FD2"/>
    <w:lvl w:ilvl="0" w:tplc="7DC46E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E2455"/>
    <w:multiLevelType w:val="hybridMultilevel"/>
    <w:tmpl w:val="289C76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5CA6"/>
    <w:multiLevelType w:val="hybridMultilevel"/>
    <w:tmpl w:val="510CC54C"/>
    <w:lvl w:ilvl="0" w:tplc="728CE4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9E0"/>
    <w:multiLevelType w:val="hybridMultilevel"/>
    <w:tmpl w:val="B964B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427B9"/>
    <w:multiLevelType w:val="hybridMultilevel"/>
    <w:tmpl w:val="AC7A380A"/>
    <w:lvl w:ilvl="0" w:tplc="0407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8010A"/>
    <w:multiLevelType w:val="hybridMultilevel"/>
    <w:tmpl w:val="9EE2F0FA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B5840"/>
    <w:multiLevelType w:val="hybridMultilevel"/>
    <w:tmpl w:val="E356DB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674DC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C18FA"/>
    <w:multiLevelType w:val="hybridMultilevel"/>
    <w:tmpl w:val="2C62EFC6"/>
    <w:lvl w:ilvl="0" w:tplc="73B4295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783FEF"/>
    <w:multiLevelType w:val="hybridMultilevel"/>
    <w:tmpl w:val="B97C3C88"/>
    <w:lvl w:ilvl="0" w:tplc="4F0AB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847AE"/>
    <w:multiLevelType w:val="hybridMultilevel"/>
    <w:tmpl w:val="25C2062C"/>
    <w:lvl w:ilvl="0" w:tplc="FFFFFFF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21"/>
  </w:num>
  <w:num w:numId="5">
    <w:abstractNumId w:val="20"/>
  </w:num>
  <w:num w:numId="6">
    <w:abstractNumId w:val="1"/>
  </w:num>
  <w:num w:numId="7">
    <w:abstractNumId w:val="3"/>
  </w:num>
  <w:num w:numId="8">
    <w:abstractNumId w:val="9"/>
  </w:num>
  <w:num w:numId="9">
    <w:abstractNumId w:val="15"/>
  </w:num>
  <w:num w:numId="10">
    <w:abstractNumId w:val="17"/>
  </w:num>
  <w:num w:numId="11">
    <w:abstractNumId w:val="19"/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  <w:num w:numId="16">
    <w:abstractNumId w:val="22"/>
  </w:num>
  <w:num w:numId="17">
    <w:abstractNumId w:val="4"/>
  </w:num>
  <w:num w:numId="18">
    <w:abstractNumId w:val="13"/>
  </w:num>
  <w:num w:numId="19">
    <w:abstractNumId w:val="11"/>
  </w:num>
  <w:num w:numId="20">
    <w:abstractNumId w:val="2"/>
  </w:num>
  <w:num w:numId="21">
    <w:abstractNumId w:val="2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</w:num>
  <w:num w:numId="25">
    <w:abstractNumId w:val="1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9"/>
    <w:rsid w:val="000072E4"/>
    <w:rsid w:val="00022C96"/>
    <w:rsid w:val="00023E61"/>
    <w:rsid w:val="000256F6"/>
    <w:rsid w:val="000325D7"/>
    <w:rsid w:val="00047B1C"/>
    <w:rsid w:val="00057B0A"/>
    <w:rsid w:val="000659C2"/>
    <w:rsid w:val="00070FFD"/>
    <w:rsid w:val="00071B71"/>
    <w:rsid w:val="0007209F"/>
    <w:rsid w:val="00074143"/>
    <w:rsid w:val="0008682F"/>
    <w:rsid w:val="000919B1"/>
    <w:rsid w:val="000A2588"/>
    <w:rsid w:val="000B2BCD"/>
    <w:rsid w:val="000C1AD8"/>
    <w:rsid w:val="000D2A1B"/>
    <w:rsid w:val="000E16A8"/>
    <w:rsid w:val="001034A7"/>
    <w:rsid w:val="00110554"/>
    <w:rsid w:val="00120B70"/>
    <w:rsid w:val="00121611"/>
    <w:rsid w:val="001460B6"/>
    <w:rsid w:val="0016460B"/>
    <w:rsid w:val="0017586C"/>
    <w:rsid w:val="00177767"/>
    <w:rsid w:val="0018558F"/>
    <w:rsid w:val="0018608D"/>
    <w:rsid w:val="00186CF7"/>
    <w:rsid w:val="00190E7B"/>
    <w:rsid w:val="001928E4"/>
    <w:rsid w:val="001A0B81"/>
    <w:rsid w:val="001B5F7A"/>
    <w:rsid w:val="001C3330"/>
    <w:rsid w:val="001C35F2"/>
    <w:rsid w:val="001C6A36"/>
    <w:rsid w:val="001C7785"/>
    <w:rsid w:val="001D7B85"/>
    <w:rsid w:val="001E22EC"/>
    <w:rsid w:val="001F071D"/>
    <w:rsid w:val="002035D7"/>
    <w:rsid w:val="002074DE"/>
    <w:rsid w:val="00224C9F"/>
    <w:rsid w:val="002364ED"/>
    <w:rsid w:val="00236764"/>
    <w:rsid w:val="00243569"/>
    <w:rsid w:val="00250016"/>
    <w:rsid w:val="0025481E"/>
    <w:rsid w:val="002637CB"/>
    <w:rsid w:val="002863E5"/>
    <w:rsid w:val="0029433C"/>
    <w:rsid w:val="0029629B"/>
    <w:rsid w:val="002A6CD4"/>
    <w:rsid w:val="002C482C"/>
    <w:rsid w:val="002E77E2"/>
    <w:rsid w:val="002F4C77"/>
    <w:rsid w:val="002F5C42"/>
    <w:rsid w:val="002F7529"/>
    <w:rsid w:val="00305E27"/>
    <w:rsid w:val="00305E29"/>
    <w:rsid w:val="00307C22"/>
    <w:rsid w:val="003125DA"/>
    <w:rsid w:val="003162F3"/>
    <w:rsid w:val="003356EF"/>
    <w:rsid w:val="003358F8"/>
    <w:rsid w:val="00336EA0"/>
    <w:rsid w:val="00345858"/>
    <w:rsid w:val="003509BC"/>
    <w:rsid w:val="00365634"/>
    <w:rsid w:val="00370C92"/>
    <w:rsid w:val="00371FA6"/>
    <w:rsid w:val="00374129"/>
    <w:rsid w:val="00375431"/>
    <w:rsid w:val="0037748D"/>
    <w:rsid w:val="0038012A"/>
    <w:rsid w:val="00392AB2"/>
    <w:rsid w:val="00393617"/>
    <w:rsid w:val="003A244F"/>
    <w:rsid w:val="003A6214"/>
    <w:rsid w:val="003B3486"/>
    <w:rsid w:val="003B5803"/>
    <w:rsid w:val="003C0DCB"/>
    <w:rsid w:val="003C14F8"/>
    <w:rsid w:val="003C2449"/>
    <w:rsid w:val="003C4F9A"/>
    <w:rsid w:val="003C58F3"/>
    <w:rsid w:val="003D33F1"/>
    <w:rsid w:val="003E659A"/>
    <w:rsid w:val="00400B13"/>
    <w:rsid w:val="0040222C"/>
    <w:rsid w:val="00413CB5"/>
    <w:rsid w:val="00415158"/>
    <w:rsid w:val="00421403"/>
    <w:rsid w:val="00443B38"/>
    <w:rsid w:val="00447CCB"/>
    <w:rsid w:val="00456320"/>
    <w:rsid w:val="004607D1"/>
    <w:rsid w:val="004624B4"/>
    <w:rsid w:val="00464B2B"/>
    <w:rsid w:val="00467D8F"/>
    <w:rsid w:val="00472963"/>
    <w:rsid w:val="004750A6"/>
    <w:rsid w:val="004759CD"/>
    <w:rsid w:val="004A7320"/>
    <w:rsid w:val="004B625C"/>
    <w:rsid w:val="004C1433"/>
    <w:rsid w:val="004C2A3F"/>
    <w:rsid w:val="004D776E"/>
    <w:rsid w:val="004E7497"/>
    <w:rsid w:val="004F2AB5"/>
    <w:rsid w:val="00502FBB"/>
    <w:rsid w:val="00523B29"/>
    <w:rsid w:val="0053435E"/>
    <w:rsid w:val="005402B9"/>
    <w:rsid w:val="005412F4"/>
    <w:rsid w:val="00543C36"/>
    <w:rsid w:val="00553319"/>
    <w:rsid w:val="005645BB"/>
    <w:rsid w:val="00564F71"/>
    <w:rsid w:val="00574414"/>
    <w:rsid w:val="00581019"/>
    <w:rsid w:val="005842D5"/>
    <w:rsid w:val="00592FBF"/>
    <w:rsid w:val="00594E03"/>
    <w:rsid w:val="005A2E57"/>
    <w:rsid w:val="005B3008"/>
    <w:rsid w:val="005B4DBB"/>
    <w:rsid w:val="005B5B09"/>
    <w:rsid w:val="005F04C1"/>
    <w:rsid w:val="005F04D8"/>
    <w:rsid w:val="005F0870"/>
    <w:rsid w:val="00603509"/>
    <w:rsid w:val="00604380"/>
    <w:rsid w:val="00607DC3"/>
    <w:rsid w:val="00612F25"/>
    <w:rsid w:val="00613062"/>
    <w:rsid w:val="00614EAF"/>
    <w:rsid w:val="00622709"/>
    <w:rsid w:val="00642B02"/>
    <w:rsid w:val="0064665E"/>
    <w:rsid w:val="00656A30"/>
    <w:rsid w:val="00662CB9"/>
    <w:rsid w:val="00674369"/>
    <w:rsid w:val="00677820"/>
    <w:rsid w:val="00686734"/>
    <w:rsid w:val="006930B8"/>
    <w:rsid w:val="00693489"/>
    <w:rsid w:val="006A5BBD"/>
    <w:rsid w:val="006A7E95"/>
    <w:rsid w:val="006B487B"/>
    <w:rsid w:val="006B71D2"/>
    <w:rsid w:val="006C3CDE"/>
    <w:rsid w:val="006D22E2"/>
    <w:rsid w:val="006D48C3"/>
    <w:rsid w:val="006D7DE2"/>
    <w:rsid w:val="006E5E3C"/>
    <w:rsid w:val="006F2051"/>
    <w:rsid w:val="006F20EE"/>
    <w:rsid w:val="006F475A"/>
    <w:rsid w:val="0070287B"/>
    <w:rsid w:val="00713AF8"/>
    <w:rsid w:val="00717320"/>
    <w:rsid w:val="00750E93"/>
    <w:rsid w:val="00755E40"/>
    <w:rsid w:val="00757A0F"/>
    <w:rsid w:val="0076609B"/>
    <w:rsid w:val="007730AF"/>
    <w:rsid w:val="00773B0F"/>
    <w:rsid w:val="007825BC"/>
    <w:rsid w:val="00784737"/>
    <w:rsid w:val="00792EA1"/>
    <w:rsid w:val="00793822"/>
    <w:rsid w:val="00794176"/>
    <w:rsid w:val="007A0740"/>
    <w:rsid w:val="007C32C2"/>
    <w:rsid w:val="007C3B42"/>
    <w:rsid w:val="007D21F4"/>
    <w:rsid w:val="007D5FAC"/>
    <w:rsid w:val="007D6954"/>
    <w:rsid w:val="007E7D86"/>
    <w:rsid w:val="007F6D0A"/>
    <w:rsid w:val="008079FB"/>
    <w:rsid w:val="00817436"/>
    <w:rsid w:val="00826513"/>
    <w:rsid w:val="00835E3E"/>
    <w:rsid w:val="0083696E"/>
    <w:rsid w:val="00840207"/>
    <w:rsid w:val="00843507"/>
    <w:rsid w:val="00851F99"/>
    <w:rsid w:val="00852C9A"/>
    <w:rsid w:val="0085584B"/>
    <w:rsid w:val="008572F4"/>
    <w:rsid w:val="008729B8"/>
    <w:rsid w:val="00875309"/>
    <w:rsid w:val="0088291A"/>
    <w:rsid w:val="00886B47"/>
    <w:rsid w:val="00891C30"/>
    <w:rsid w:val="0089746A"/>
    <w:rsid w:val="008A1B11"/>
    <w:rsid w:val="008B0998"/>
    <w:rsid w:val="008B1668"/>
    <w:rsid w:val="008B3651"/>
    <w:rsid w:val="008B4865"/>
    <w:rsid w:val="008B5B6E"/>
    <w:rsid w:val="008C430A"/>
    <w:rsid w:val="008C4804"/>
    <w:rsid w:val="008C4C79"/>
    <w:rsid w:val="008D3C99"/>
    <w:rsid w:val="008D6499"/>
    <w:rsid w:val="008D7E7B"/>
    <w:rsid w:val="008E010E"/>
    <w:rsid w:val="008F0755"/>
    <w:rsid w:val="008F3EDE"/>
    <w:rsid w:val="00906538"/>
    <w:rsid w:val="00906A7C"/>
    <w:rsid w:val="009127BD"/>
    <w:rsid w:val="00923E43"/>
    <w:rsid w:val="0092550B"/>
    <w:rsid w:val="00925667"/>
    <w:rsid w:val="00931D33"/>
    <w:rsid w:val="00937877"/>
    <w:rsid w:val="00941B19"/>
    <w:rsid w:val="00947C62"/>
    <w:rsid w:val="00952CF9"/>
    <w:rsid w:val="00953FDA"/>
    <w:rsid w:val="009562FE"/>
    <w:rsid w:val="00964074"/>
    <w:rsid w:val="00967532"/>
    <w:rsid w:val="00971270"/>
    <w:rsid w:val="00971EFA"/>
    <w:rsid w:val="009813FA"/>
    <w:rsid w:val="00982FC6"/>
    <w:rsid w:val="00992638"/>
    <w:rsid w:val="009A36DD"/>
    <w:rsid w:val="009A5145"/>
    <w:rsid w:val="009B3C73"/>
    <w:rsid w:val="009C1F0D"/>
    <w:rsid w:val="009C6D59"/>
    <w:rsid w:val="009D0CC6"/>
    <w:rsid w:val="009D6F62"/>
    <w:rsid w:val="009E18E6"/>
    <w:rsid w:val="009E2B28"/>
    <w:rsid w:val="009E2BD6"/>
    <w:rsid w:val="009F35B7"/>
    <w:rsid w:val="00A01951"/>
    <w:rsid w:val="00A13662"/>
    <w:rsid w:val="00A26C34"/>
    <w:rsid w:val="00A35643"/>
    <w:rsid w:val="00A42445"/>
    <w:rsid w:val="00A43FEA"/>
    <w:rsid w:val="00A44436"/>
    <w:rsid w:val="00A552BC"/>
    <w:rsid w:val="00A67D06"/>
    <w:rsid w:val="00A72AE1"/>
    <w:rsid w:val="00A771DC"/>
    <w:rsid w:val="00A80630"/>
    <w:rsid w:val="00A85B9A"/>
    <w:rsid w:val="00A94B44"/>
    <w:rsid w:val="00AB2DF6"/>
    <w:rsid w:val="00AD1E3B"/>
    <w:rsid w:val="00AF59E2"/>
    <w:rsid w:val="00B010F0"/>
    <w:rsid w:val="00B020F7"/>
    <w:rsid w:val="00B02C2B"/>
    <w:rsid w:val="00B1296E"/>
    <w:rsid w:val="00B56BE6"/>
    <w:rsid w:val="00B57AD9"/>
    <w:rsid w:val="00B614C2"/>
    <w:rsid w:val="00B63335"/>
    <w:rsid w:val="00B67F83"/>
    <w:rsid w:val="00B715C9"/>
    <w:rsid w:val="00B764F7"/>
    <w:rsid w:val="00B76F89"/>
    <w:rsid w:val="00B84634"/>
    <w:rsid w:val="00B94A53"/>
    <w:rsid w:val="00B953DE"/>
    <w:rsid w:val="00BB7BEC"/>
    <w:rsid w:val="00BC79D3"/>
    <w:rsid w:val="00BD42FE"/>
    <w:rsid w:val="00BD5185"/>
    <w:rsid w:val="00BE5B30"/>
    <w:rsid w:val="00C14B57"/>
    <w:rsid w:val="00C24B98"/>
    <w:rsid w:val="00C31F81"/>
    <w:rsid w:val="00C33061"/>
    <w:rsid w:val="00C4289C"/>
    <w:rsid w:val="00C5265F"/>
    <w:rsid w:val="00C60053"/>
    <w:rsid w:val="00C6402C"/>
    <w:rsid w:val="00C6535A"/>
    <w:rsid w:val="00C70021"/>
    <w:rsid w:val="00C85DB0"/>
    <w:rsid w:val="00CA4F22"/>
    <w:rsid w:val="00CB5DE9"/>
    <w:rsid w:val="00CC239B"/>
    <w:rsid w:val="00CC2FED"/>
    <w:rsid w:val="00CC65FB"/>
    <w:rsid w:val="00CD0DED"/>
    <w:rsid w:val="00CD183B"/>
    <w:rsid w:val="00CD3D3A"/>
    <w:rsid w:val="00CE08A3"/>
    <w:rsid w:val="00CE560E"/>
    <w:rsid w:val="00CF0C83"/>
    <w:rsid w:val="00CF7DDE"/>
    <w:rsid w:val="00D112F0"/>
    <w:rsid w:val="00D114C5"/>
    <w:rsid w:val="00D17C0D"/>
    <w:rsid w:val="00D278FA"/>
    <w:rsid w:val="00D3535B"/>
    <w:rsid w:val="00D60DFF"/>
    <w:rsid w:val="00D61C1A"/>
    <w:rsid w:val="00D71BEA"/>
    <w:rsid w:val="00D803F2"/>
    <w:rsid w:val="00D86808"/>
    <w:rsid w:val="00DA14B8"/>
    <w:rsid w:val="00DA485B"/>
    <w:rsid w:val="00DA4E12"/>
    <w:rsid w:val="00DA60C6"/>
    <w:rsid w:val="00DC2508"/>
    <w:rsid w:val="00DC38D0"/>
    <w:rsid w:val="00DD068E"/>
    <w:rsid w:val="00DD2E7F"/>
    <w:rsid w:val="00DD4044"/>
    <w:rsid w:val="00DD44AA"/>
    <w:rsid w:val="00DD54F0"/>
    <w:rsid w:val="00DE1D08"/>
    <w:rsid w:val="00DE2246"/>
    <w:rsid w:val="00DE239A"/>
    <w:rsid w:val="00DF1BCD"/>
    <w:rsid w:val="00DF5DE9"/>
    <w:rsid w:val="00DF63E3"/>
    <w:rsid w:val="00E04EEB"/>
    <w:rsid w:val="00E14CCD"/>
    <w:rsid w:val="00E15EB7"/>
    <w:rsid w:val="00E31E75"/>
    <w:rsid w:val="00E36DFE"/>
    <w:rsid w:val="00E41576"/>
    <w:rsid w:val="00E42599"/>
    <w:rsid w:val="00E43B31"/>
    <w:rsid w:val="00E44095"/>
    <w:rsid w:val="00E5071B"/>
    <w:rsid w:val="00E6082E"/>
    <w:rsid w:val="00E82A55"/>
    <w:rsid w:val="00E869C6"/>
    <w:rsid w:val="00E942FA"/>
    <w:rsid w:val="00EB6FB0"/>
    <w:rsid w:val="00EE12EC"/>
    <w:rsid w:val="00EE4FA0"/>
    <w:rsid w:val="00EE7987"/>
    <w:rsid w:val="00EF4B75"/>
    <w:rsid w:val="00F1657C"/>
    <w:rsid w:val="00F17094"/>
    <w:rsid w:val="00F26594"/>
    <w:rsid w:val="00F33EBA"/>
    <w:rsid w:val="00F43340"/>
    <w:rsid w:val="00F461EC"/>
    <w:rsid w:val="00F5556C"/>
    <w:rsid w:val="00F65D08"/>
    <w:rsid w:val="00F6658E"/>
    <w:rsid w:val="00F7567D"/>
    <w:rsid w:val="00F77580"/>
    <w:rsid w:val="00F77C6F"/>
    <w:rsid w:val="00F81609"/>
    <w:rsid w:val="00F81D22"/>
    <w:rsid w:val="00F81E43"/>
    <w:rsid w:val="00F91576"/>
    <w:rsid w:val="00FA54BC"/>
    <w:rsid w:val="00FB0B08"/>
    <w:rsid w:val="00FB1437"/>
    <w:rsid w:val="00FC17E0"/>
    <w:rsid w:val="00FC392A"/>
    <w:rsid w:val="00FD660C"/>
    <w:rsid w:val="00FD7B8B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BA248"/>
  <w15:docId w15:val="{1E36497A-A137-4D39-8044-F4C88275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B81"/>
  </w:style>
  <w:style w:type="paragraph" w:styleId="berschrift1">
    <w:name w:val="heading 1"/>
    <w:basedOn w:val="Standard"/>
    <w:next w:val="Standard"/>
    <w:qFormat/>
    <w:pPr>
      <w:keepNext/>
      <w:spacing w:line="320" w:lineRule="exact"/>
      <w:jc w:val="both"/>
      <w:outlineLvl w:val="0"/>
    </w:pPr>
    <w:rPr>
      <w:rFonts w:ascii="CG Times" w:hAnsi="CG Times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20" w:lineRule="exact"/>
      <w:ind w:left="708" w:hanging="708"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20" w:lineRule="exact"/>
      <w:jc w:val="center"/>
      <w:outlineLvl w:val="2"/>
    </w:pPr>
    <w:rPr>
      <w:rFonts w:ascii="CG Times" w:hAnsi="CG Times"/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line="320" w:lineRule="exact"/>
      <w:outlineLvl w:val="3"/>
    </w:pPr>
    <w:rPr>
      <w:rFonts w:ascii="CG Times" w:hAnsi="CG Times"/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20" w:lineRule="exact"/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20" w:lineRule="exact"/>
      <w:jc w:val="both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/>
      <w:ind w:left="397" w:hanging="397"/>
      <w:jc w:val="both"/>
    </w:pPr>
    <w:rPr>
      <w:rFonts w:ascii="Univers" w:hAnsi="Univers"/>
      <w:sz w:val="18"/>
    </w:rPr>
  </w:style>
  <w:style w:type="paragraph" w:customStyle="1" w:styleId="Habil">
    <w:name w:val="Habil"/>
    <w:basedOn w:val="Standard"/>
    <w:pPr>
      <w:jc w:val="both"/>
    </w:pPr>
    <w:rPr>
      <w:rFonts w:ascii="Univers" w:hAnsi="Univers"/>
      <w:sz w:val="22"/>
    </w:rPr>
  </w:style>
  <w:style w:type="character" w:styleId="Funotenzeichen">
    <w:name w:val="footnote reference"/>
    <w:semiHidden/>
    <w:rPr>
      <w:rFonts w:ascii="Univers" w:hAnsi="Univers"/>
      <w:sz w:val="18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abilfu">
    <w:name w:val="Habilfuß"/>
    <w:basedOn w:val="Funotentext"/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link w:val="Textkrper-ZeileneinzugZchn"/>
    <w:pPr>
      <w:spacing w:line="320" w:lineRule="exact"/>
      <w:ind w:left="708" w:hanging="708"/>
      <w:jc w:val="both"/>
    </w:pPr>
    <w:rPr>
      <w:sz w:val="22"/>
    </w:rPr>
  </w:style>
  <w:style w:type="paragraph" w:styleId="Sprechblasentext">
    <w:name w:val="Balloon Text"/>
    <w:basedOn w:val="Standard"/>
    <w:semiHidden/>
    <w:rsid w:val="00E14CC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CD183B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D42FE"/>
    <w:rPr>
      <w:sz w:val="16"/>
      <w:szCs w:val="16"/>
    </w:rPr>
  </w:style>
  <w:style w:type="paragraph" w:styleId="Kommentartext">
    <w:name w:val="annotation text"/>
    <w:basedOn w:val="Standard"/>
    <w:semiHidden/>
    <w:rsid w:val="00BD42FE"/>
  </w:style>
  <w:style w:type="paragraph" w:styleId="Kommentarthema">
    <w:name w:val="annotation subject"/>
    <w:basedOn w:val="Kommentartext"/>
    <w:next w:val="Kommentartext"/>
    <w:semiHidden/>
    <w:rsid w:val="00BD42FE"/>
    <w:rPr>
      <w:b/>
      <w:bCs/>
    </w:rPr>
  </w:style>
  <w:style w:type="character" w:styleId="Hyperlink">
    <w:name w:val="Hyperlink"/>
    <w:rsid w:val="001D7B85"/>
    <w:rPr>
      <w:color w:val="0000FF"/>
      <w:u w:val="single"/>
    </w:rPr>
  </w:style>
  <w:style w:type="paragraph" w:customStyle="1" w:styleId="titleshort">
    <w:name w:val="titleshort"/>
    <w:basedOn w:val="Standard"/>
    <w:rsid w:val="003A6214"/>
    <w:pPr>
      <w:spacing w:before="100" w:beforeAutospacing="1" w:after="100" w:afterAutospacing="1"/>
    </w:pPr>
    <w:rPr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F81E43"/>
    <w:pPr>
      <w:ind w:left="708"/>
    </w:pPr>
  </w:style>
  <w:style w:type="character" w:customStyle="1" w:styleId="Textkrper-ZeileneinzugZchn">
    <w:name w:val="Textkörper-Zeileneinzug Zchn"/>
    <w:link w:val="Textkrper-Zeileneinzug"/>
    <w:rsid w:val="003E659A"/>
    <w:rPr>
      <w:sz w:val="22"/>
    </w:rPr>
  </w:style>
  <w:style w:type="paragraph" w:styleId="Dokumentstruktur">
    <w:name w:val="Document Map"/>
    <w:basedOn w:val="Standard"/>
    <w:semiHidden/>
    <w:rsid w:val="00592FBF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uiPriority w:val="99"/>
    <w:unhideWhenUsed/>
    <w:rsid w:val="00E36DFE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36DFE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72"/>
    <w:rsid w:val="0079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\Habilitatio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Habilitation</Template>
  <TotalTime>0</TotalTime>
  <Pages>23</Pages>
  <Words>5937</Words>
  <Characters>37405</Characters>
  <Application>Microsoft Office Word</Application>
  <DocSecurity>4</DocSecurity>
  <Lines>311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Bundesverfassungsgericht</Company>
  <LinksUpToDate>false</LinksUpToDate>
  <CharactersWithSpaces>43256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Voßkuhle</dc:creator>
  <cp:lastModifiedBy>Nicole Hoffmann</cp:lastModifiedBy>
  <cp:revision>2</cp:revision>
  <cp:lastPrinted>2017-07-16T11:00:00Z</cp:lastPrinted>
  <dcterms:created xsi:type="dcterms:W3CDTF">2019-12-19T07:51:00Z</dcterms:created>
  <dcterms:modified xsi:type="dcterms:W3CDTF">2019-12-19T07:51:00Z</dcterms:modified>
</cp:coreProperties>
</file>